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4E1077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01227E">
        <w:rPr>
          <w:rFonts w:cs="Arial"/>
          <w:b/>
          <w:sz w:val="22"/>
          <w:lang w:val="en-US"/>
        </w:rPr>
        <w:t>20</w:t>
      </w:r>
      <w:r>
        <w:rPr>
          <w:rFonts w:cs="Arial"/>
          <w:b/>
          <w:i/>
          <w:sz w:val="22"/>
          <w:lang w:val="en-US"/>
        </w:rPr>
        <w:tab/>
      </w:r>
      <w:r w:rsidR="00856448" w:rsidRPr="00856448">
        <w:rPr>
          <w:rFonts w:cs="Arial"/>
          <w:b/>
          <w:i/>
          <w:sz w:val="22"/>
          <w:lang w:val="en-US" w:eastAsia="zh-CN"/>
        </w:rPr>
        <w:t>R2-2211961</w:t>
      </w:r>
    </w:p>
    <w:p w14:paraId="3F17F203" w14:textId="19D44454" w:rsidR="00FB3C9D" w:rsidRDefault="0001227E">
      <w:pPr>
        <w:tabs>
          <w:tab w:val="left" w:pos="1701"/>
          <w:tab w:val="right" w:pos="9639"/>
        </w:tabs>
        <w:spacing w:after="0"/>
        <w:rPr>
          <w:rFonts w:cs="Arial"/>
          <w:b/>
          <w:color w:val="000000"/>
          <w:sz w:val="24"/>
        </w:rPr>
      </w:pPr>
      <w:r w:rsidRPr="00F0523D">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D4DBC5C"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DE7CCF">
        <w:rPr>
          <w:sz w:val="22"/>
        </w:rPr>
        <w:t>4</w:t>
      </w:r>
      <w:r w:rsidR="00E77EC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1DC09C2" w:rsidR="00FB3C9D" w:rsidRDefault="003D1DDD">
      <w:pPr>
        <w:pStyle w:val="3GPPHeader"/>
        <w:rPr>
          <w:sz w:val="22"/>
        </w:rPr>
      </w:pPr>
      <w:r>
        <w:rPr>
          <w:sz w:val="22"/>
        </w:rPr>
        <w:t>Title:</w:t>
      </w:r>
      <w:r>
        <w:rPr>
          <w:sz w:val="22"/>
        </w:rPr>
        <w:tab/>
        <w:t xml:space="preserve">Discussion on </w:t>
      </w:r>
      <w:r w:rsidR="00166975">
        <w:rPr>
          <w:sz w:val="22"/>
        </w:rPr>
        <w:t xml:space="preserve">scheduling enhancement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C34B544" w14:textId="1FABD51B" w:rsidR="00E501B7" w:rsidRPr="0027424D" w:rsidRDefault="0014162A" w:rsidP="00E54656">
      <w:r>
        <w:rPr>
          <w:rFonts w:eastAsiaTheme="minorEastAsia"/>
        </w:rPr>
        <w:t>This paper will provide our considerations on scheduling enhancement</w:t>
      </w:r>
      <w:r>
        <w:rPr>
          <w:rFonts w:hint="eastAsia"/>
        </w:rPr>
        <w:t>,</w:t>
      </w:r>
      <w:r>
        <w:t xml:space="preserve"> for which </w:t>
      </w:r>
      <w:r w:rsidR="004F3D6B">
        <w:t>the previous RAN2 meetings</w:t>
      </w:r>
      <w:r>
        <w:t xml:space="preserve"> reached the following agreements</w:t>
      </w:r>
    </w:p>
    <w:p w14:paraId="70F17E18" w14:textId="5D5B825B" w:rsidR="00E501B7" w:rsidRPr="004F3D6B" w:rsidRDefault="00E501B7" w:rsidP="00E501B7">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4F3D6B">
        <w:rPr>
          <w:sz w:val="20"/>
          <w:szCs w:val="20"/>
        </w:rPr>
        <w:t>1: As starting point, RAN2 can further discuss the solutions in TR 38.838 that can impact on L2 operation (</w:t>
      </w:r>
      <w:r w:rsidRPr="004F3D6B">
        <w:rPr>
          <w:sz w:val="20"/>
          <w:szCs w:val="20"/>
          <w:u w:val="single"/>
        </w:rPr>
        <w:t>e.g.</w:t>
      </w:r>
      <w:r w:rsidRPr="004F3D6B">
        <w:rPr>
          <w:sz w:val="20"/>
          <w:szCs w:val="20"/>
        </w:rPr>
        <w:t>, BSR, LCP, assistance information for scheduling, packet discarding, prioritization) for XR-specific capacity improvement. RAN2-specific solutions are not precluded (even if RAN1 hasn’t discussed them before).</w:t>
      </w:r>
    </w:p>
    <w:p w14:paraId="52905255" w14:textId="77777777" w:rsidR="0027424D" w:rsidRPr="004F3D6B"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4F3D6B">
        <w:rPr>
          <w:sz w:val="20"/>
          <w:szCs w:val="20"/>
        </w:rPr>
        <w:t xml:space="preserve">1: Enhancement to SPS/CG should be justified for XR scheduling and should be evaluated against dynamic grant (DG) scheduling which should be considered as baseline. Should justify why enhancements are needed. </w:t>
      </w:r>
    </w:p>
    <w:p w14:paraId="05B35F13" w14:textId="1FD91583" w:rsidR="0027424D" w:rsidRPr="004F3D6B"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4F3D6B">
        <w:rPr>
          <w:sz w:val="20"/>
          <w:szCs w:val="20"/>
        </w:rPr>
        <w:t>RAN2 considers SPS enhancements may not be needed in Rel-18 XR since PDCCH capacity is not assumed to be a problem for XR. FFS if SPS has some power consumption benefits.</w:t>
      </w:r>
    </w:p>
    <w:p w14:paraId="37F946D3" w14:textId="77777777" w:rsidR="004F3D6B" w:rsidRPr="004F3D6B" w:rsidRDefault="004F3D6B" w:rsidP="004F3D6B">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4F3D6B">
        <w:rPr>
          <w:sz w:val="20"/>
          <w:szCs w:val="20"/>
        </w:rPr>
        <w:t>1: Current CG configurations can be reused for UL XR traffic. FFS if enhancements are needed (RAN1 is already discussing something). RAN2 can discuss this in the next meeting.</w:t>
      </w:r>
    </w:p>
    <w:p w14:paraId="711EE464" w14:textId="77777777" w:rsidR="004F3D6B" w:rsidRPr="004F3D6B" w:rsidRDefault="004F3D6B" w:rsidP="004F3D6B">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4F3D6B">
        <w:rPr>
          <w:sz w:val="20"/>
          <w:szCs w:val="20"/>
        </w:rPr>
        <w:t xml:space="preserve">2: RAN2 can discuss potential enhancement to provide some assistant information on UL XR traffic for CG configurations at the </w:t>
      </w:r>
      <w:proofErr w:type="spellStart"/>
      <w:r w:rsidRPr="004F3D6B">
        <w:rPr>
          <w:sz w:val="20"/>
          <w:szCs w:val="20"/>
        </w:rPr>
        <w:t>gNB</w:t>
      </w:r>
      <w:proofErr w:type="spellEnd"/>
      <w:r w:rsidRPr="004F3D6B">
        <w:rPr>
          <w:sz w:val="20"/>
          <w:szCs w:val="20"/>
        </w:rPr>
        <w:t>. FFS whether TSCAI can already provide all necessary information.</w:t>
      </w:r>
    </w:p>
    <w:bookmarkEnd w:id="5"/>
    <w:p w14:paraId="44D5DC77" w14:textId="4025E752" w:rsidR="00041594" w:rsidRPr="008824E1" w:rsidRDefault="00041594" w:rsidP="00E54656">
      <w:pPr>
        <w:rPr>
          <w:lang w:eastAsia="ko-KR"/>
        </w:rPr>
      </w:pPr>
    </w:p>
    <w:p w14:paraId="0440FABE" w14:textId="317468C1" w:rsidR="00FB3C9D" w:rsidRDefault="003D1DDD">
      <w:pPr>
        <w:pStyle w:val="1"/>
      </w:pPr>
      <w:r>
        <w:t>Discussion</w:t>
      </w:r>
    </w:p>
    <w:p w14:paraId="37B3DF1D" w14:textId="58C415D9" w:rsidR="009C0C85" w:rsidRDefault="00C7292C" w:rsidP="00325471">
      <w:pPr>
        <w:pStyle w:val="afa"/>
      </w:pPr>
      <w:r>
        <w:t>In Rel-16 URLLC,</w:t>
      </w:r>
      <w:r w:rsidR="00F11AB6">
        <w:t xml:space="preserve"> TSCAI is introduced to </w:t>
      </w:r>
      <w:r w:rsidR="005119B0">
        <w:t>describe</w:t>
      </w:r>
      <w:r w:rsidR="005119B0" w:rsidRPr="001B7C50">
        <w:t xml:space="preserve"> TSC traffic characteristics</w:t>
      </w:r>
      <w:r w:rsidR="001A33BE">
        <w:t xml:space="preserve">. </w:t>
      </w:r>
      <w:r w:rsidR="009C0C85">
        <w:t>The TSCAI is provided to the RAN from SMF per QoS flow, which contains the flow direction, periodicity and burst arrival time.</w:t>
      </w:r>
      <w:r w:rsidR="00510946">
        <w:t xml:space="preserve"> </w:t>
      </w:r>
      <w:r w:rsidR="009C0C85">
        <w:t xml:space="preserve">Knowing the </w:t>
      </w:r>
      <w:r w:rsidR="009C0C85" w:rsidRPr="001B7C50">
        <w:t>TSC traffic characteristic</w:t>
      </w:r>
      <w:r w:rsidR="009C0C85">
        <w:t>s</w:t>
      </w:r>
      <w:r w:rsidR="009C0C85" w:rsidRPr="001B7C50">
        <w:t xml:space="preserve"> is useful for </w:t>
      </w:r>
      <w:r w:rsidR="009C0C85">
        <w:t xml:space="preserve">RAN </w:t>
      </w:r>
      <w:r w:rsidR="00A15AD4">
        <w:t>on</w:t>
      </w:r>
      <w:r w:rsidR="009C0C85" w:rsidRPr="001B7C50">
        <w:t xml:space="preserve"> more </w:t>
      </w:r>
      <w:r w:rsidR="008140E2">
        <w:t>efficient</w:t>
      </w:r>
      <w:r w:rsidR="009C0C85" w:rsidRPr="001B7C50">
        <w:t xml:space="preserve"> scheduling </w:t>
      </w:r>
      <w:r w:rsidR="008227D6">
        <w:t>for</w:t>
      </w:r>
      <w:r w:rsidR="009C0C85">
        <w:t xml:space="preserve"> the </w:t>
      </w:r>
      <w:r w:rsidR="009C0C85" w:rsidRPr="001B7C50">
        <w:t xml:space="preserve">QoS </w:t>
      </w:r>
      <w:r w:rsidR="009C0C85">
        <w:t>flows</w:t>
      </w:r>
      <w:r w:rsidR="009C0C85" w:rsidRPr="001B7C50">
        <w:t xml:space="preserve"> that have periodic</w:t>
      </w:r>
      <w:r w:rsidR="009C0C85">
        <w:t xml:space="preserve"> and </w:t>
      </w:r>
      <w:r w:rsidR="009C0C85" w:rsidRPr="001B7C50">
        <w:t>deterministic traffic characteristics</w:t>
      </w:r>
      <w:r w:rsidR="009C0C85">
        <w:t xml:space="preserve">.  </w:t>
      </w:r>
    </w:p>
    <w:p w14:paraId="47CDABE1" w14:textId="2D0939A6" w:rsidR="001A33BE" w:rsidRPr="001B7C50" w:rsidRDefault="001A33BE" w:rsidP="001A33BE">
      <w:pPr>
        <w:pStyle w:val="TH"/>
      </w:pPr>
      <w:r w:rsidRPr="001B7C50">
        <w:t>Table</w:t>
      </w:r>
      <w:r w:rsidR="000F4FF2">
        <w:t xml:space="preserve"> 1</w:t>
      </w:r>
      <w:r w:rsidRPr="001B7C50">
        <w:t>: TSC Assistance Information (TSCAI)</w:t>
      </w:r>
      <w:r>
        <w:t xml:space="preserve"> in TS 23.501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A33BE" w:rsidRPr="001B7C50" w14:paraId="31237F82" w14:textId="77777777" w:rsidTr="000526ED">
        <w:trPr>
          <w:cantSplit/>
          <w:jc w:val="center"/>
        </w:trPr>
        <w:tc>
          <w:tcPr>
            <w:tcW w:w="3166" w:type="dxa"/>
            <w:shd w:val="clear" w:color="auto" w:fill="auto"/>
          </w:tcPr>
          <w:p w14:paraId="3847BDFE" w14:textId="77777777" w:rsidR="001A33BE" w:rsidRPr="001B7C50" w:rsidRDefault="001A33BE" w:rsidP="000526ED">
            <w:pPr>
              <w:pStyle w:val="TAH"/>
            </w:pPr>
            <w:r w:rsidRPr="001B7C50">
              <w:t>Assistance Information</w:t>
            </w:r>
          </w:p>
        </w:tc>
        <w:tc>
          <w:tcPr>
            <w:tcW w:w="6465" w:type="dxa"/>
            <w:shd w:val="clear" w:color="auto" w:fill="auto"/>
          </w:tcPr>
          <w:p w14:paraId="3350784A" w14:textId="77777777" w:rsidR="001A33BE" w:rsidRPr="001B7C50" w:rsidRDefault="001A33BE" w:rsidP="000526ED">
            <w:pPr>
              <w:pStyle w:val="TAH"/>
            </w:pPr>
            <w:r w:rsidRPr="001B7C50">
              <w:t>Description</w:t>
            </w:r>
          </w:p>
        </w:tc>
      </w:tr>
      <w:tr w:rsidR="001A33BE" w:rsidRPr="001B7C50" w14:paraId="557FE646" w14:textId="77777777" w:rsidTr="000526ED">
        <w:trPr>
          <w:cantSplit/>
          <w:jc w:val="center"/>
        </w:trPr>
        <w:tc>
          <w:tcPr>
            <w:tcW w:w="3166" w:type="dxa"/>
            <w:shd w:val="clear" w:color="auto" w:fill="auto"/>
          </w:tcPr>
          <w:p w14:paraId="39DF62C9" w14:textId="77777777" w:rsidR="001A33BE" w:rsidRPr="001B7C50" w:rsidRDefault="001A33BE" w:rsidP="000526ED">
            <w:pPr>
              <w:pStyle w:val="TAL"/>
            </w:pPr>
            <w:r w:rsidRPr="001B7C50">
              <w:t>Flow Direction</w:t>
            </w:r>
          </w:p>
        </w:tc>
        <w:tc>
          <w:tcPr>
            <w:tcW w:w="6465" w:type="dxa"/>
            <w:shd w:val="clear" w:color="auto" w:fill="auto"/>
          </w:tcPr>
          <w:p w14:paraId="49DD9A93" w14:textId="77777777" w:rsidR="001A33BE" w:rsidRPr="001B7C50" w:rsidRDefault="001A33BE" w:rsidP="000526ED">
            <w:pPr>
              <w:pStyle w:val="TAL"/>
            </w:pPr>
            <w:r w:rsidRPr="001B7C50">
              <w:t>The direction of the TSC flow (uplink or downlink).</w:t>
            </w:r>
          </w:p>
        </w:tc>
      </w:tr>
      <w:tr w:rsidR="001A33BE" w:rsidRPr="001B7C50" w14:paraId="28865F51" w14:textId="77777777" w:rsidTr="000526ED">
        <w:trPr>
          <w:cantSplit/>
          <w:jc w:val="center"/>
        </w:trPr>
        <w:tc>
          <w:tcPr>
            <w:tcW w:w="3166" w:type="dxa"/>
            <w:shd w:val="clear" w:color="auto" w:fill="auto"/>
          </w:tcPr>
          <w:p w14:paraId="26B1E259" w14:textId="77777777" w:rsidR="001A33BE" w:rsidRPr="001B7C50" w:rsidRDefault="001A33BE" w:rsidP="000526ED">
            <w:pPr>
              <w:pStyle w:val="TAL"/>
            </w:pPr>
            <w:r w:rsidRPr="001B7C50">
              <w:t>Periodicity</w:t>
            </w:r>
          </w:p>
        </w:tc>
        <w:tc>
          <w:tcPr>
            <w:tcW w:w="6465" w:type="dxa"/>
            <w:shd w:val="clear" w:color="auto" w:fill="auto"/>
          </w:tcPr>
          <w:p w14:paraId="11453EC9" w14:textId="77777777" w:rsidR="001A33BE" w:rsidRPr="001B7C50" w:rsidRDefault="001A33BE" w:rsidP="000526ED">
            <w:pPr>
              <w:pStyle w:val="TAL"/>
            </w:pPr>
            <w:r w:rsidRPr="001B7C50">
              <w:t>It refers to the time period between start of two data bursts.</w:t>
            </w:r>
          </w:p>
        </w:tc>
      </w:tr>
      <w:tr w:rsidR="001A33BE" w:rsidRPr="001B7C50" w14:paraId="26BDB089" w14:textId="77777777" w:rsidTr="000526ED">
        <w:trPr>
          <w:cantSplit/>
          <w:jc w:val="center"/>
        </w:trPr>
        <w:tc>
          <w:tcPr>
            <w:tcW w:w="3166" w:type="dxa"/>
            <w:shd w:val="clear" w:color="auto" w:fill="auto"/>
          </w:tcPr>
          <w:p w14:paraId="4603660A" w14:textId="77777777" w:rsidR="001A33BE" w:rsidRPr="001B7C50" w:rsidRDefault="001A33BE" w:rsidP="000526ED">
            <w:pPr>
              <w:pStyle w:val="TAL"/>
            </w:pPr>
            <w:r w:rsidRPr="001B7C50">
              <w:t>Burst Arrival Time (optional)</w:t>
            </w:r>
          </w:p>
        </w:tc>
        <w:tc>
          <w:tcPr>
            <w:tcW w:w="6465" w:type="dxa"/>
            <w:shd w:val="clear" w:color="auto" w:fill="auto"/>
          </w:tcPr>
          <w:p w14:paraId="0B6E6FA4" w14:textId="77777777" w:rsidR="001A33BE" w:rsidRPr="001B7C50" w:rsidRDefault="001A33BE" w:rsidP="000526ED">
            <w:pPr>
              <w:pStyle w:val="TAL"/>
            </w:pPr>
            <w:r w:rsidRPr="001B7C50">
              <w:t>The latest possible time when the first packet of the data burst arrives at either the ingress of the RAN (downlink flow direction) or the egress of the UE (uplink flow direction).</w:t>
            </w:r>
          </w:p>
        </w:tc>
      </w:tr>
      <w:tr w:rsidR="001A33BE" w:rsidRPr="001B7C50" w14:paraId="37342AB4" w14:textId="77777777" w:rsidTr="000526ED">
        <w:trPr>
          <w:cantSplit/>
          <w:jc w:val="center"/>
        </w:trPr>
        <w:tc>
          <w:tcPr>
            <w:tcW w:w="3166" w:type="dxa"/>
            <w:shd w:val="clear" w:color="auto" w:fill="auto"/>
          </w:tcPr>
          <w:p w14:paraId="562A35F6" w14:textId="77777777" w:rsidR="001A33BE" w:rsidRPr="001B7C50" w:rsidRDefault="001A33BE" w:rsidP="000526ED">
            <w:pPr>
              <w:pStyle w:val="TAL"/>
            </w:pPr>
            <w:r w:rsidRPr="001B7C50">
              <w:t>Survival Time (optional)</w:t>
            </w:r>
          </w:p>
        </w:tc>
        <w:tc>
          <w:tcPr>
            <w:tcW w:w="6465" w:type="dxa"/>
            <w:shd w:val="clear" w:color="auto" w:fill="auto"/>
          </w:tcPr>
          <w:p w14:paraId="2C64EF11" w14:textId="77777777" w:rsidR="001A33BE" w:rsidRPr="001B7C50" w:rsidRDefault="001A33BE" w:rsidP="000526ED">
            <w:pPr>
              <w:pStyle w:val="TAL"/>
            </w:pPr>
            <w:r w:rsidRPr="001B7C50">
              <w:t>Survival Time, as defined in TS 22.261 [2],</w:t>
            </w:r>
            <w:r>
              <w:t xml:space="preserve"> refers to</w:t>
            </w:r>
            <w:r w:rsidRPr="001B7C50">
              <w:t xml:space="preserve"> the time period an application can survive without any data burst.</w:t>
            </w:r>
          </w:p>
        </w:tc>
      </w:tr>
    </w:tbl>
    <w:p w14:paraId="5B12C43C" w14:textId="79FF2017" w:rsidR="00C7292C" w:rsidRDefault="00C7292C" w:rsidP="00325471">
      <w:pPr>
        <w:pStyle w:val="afa"/>
      </w:pPr>
    </w:p>
    <w:p w14:paraId="4B7EFA95" w14:textId="77777777" w:rsidR="00C7292C" w:rsidRDefault="00C7292C" w:rsidP="00325471">
      <w:pPr>
        <w:pStyle w:val="afa"/>
      </w:pPr>
    </w:p>
    <w:p w14:paraId="39C19407" w14:textId="66888172" w:rsidR="003B71EF" w:rsidRDefault="003B71EF" w:rsidP="00325471">
      <w:pPr>
        <w:pStyle w:val="afa"/>
      </w:pPr>
      <w:r>
        <w:rPr>
          <w:rFonts w:hint="eastAsia"/>
        </w:rPr>
        <w:lastRenderedPageBreak/>
        <w:t>S</w:t>
      </w:r>
      <w:r>
        <w:t xml:space="preserve">imilar to TSC, XR is also periodic traffic with latency requirements. To guarantee efficient scheduling for </w:t>
      </w:r>
      <w:r w:rsidR="00782013">
        <w:t xml:space="preserve">the </w:t>
      </w:r>
      <w:r>
        <w:t xml:space="preserve">XR service, we prefer the </w:t>
      </w:r>
      <w:proofErr w:type="spellStart"/>
      <w:r>
        <w:t>gNB</w:t>
      </w:r>
      <w:proofErr w:type="spellEnd"/>
      <w:r>
        <w:t xml:space="preserve"> to obtain XR characteristics from the SMF by using a TSCAI-like method. Such XR characteristics can contain direction, burst periodicity and burst arrival time.</w:t>
      </w:r>
    </w:p>
    <w:p w14:paraId="72598B15" w14:textId="458C360E" w:rsidR="00B720F7" w:rsidRDefault="00B720F7" w:rsidP="003B71EF">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rPr>
          <w:noProof/>
        </w:rPr>
      </w:pPr>
      <w:bookmarkStart w:id="6" w:name="_Toc118466564"/>
      <w:r>
        <w:rPr>
          <w:noProof/>
        </w:rPr>
        <w:t xml:space="preserve">TSCAI is designed to provide the gNB </w:t>
      </w:r>
      <w:r w:rsidR="00C42E1F">
        <w:rPr>
          <w:noProof/>
        </w:rPr>
        <w:t xml:space="preserve">with </w:t>
      </w:r>
      <w:r>
        <w:rPr>
          <w:noProof/>
        </w:rPr>
        <w:t xml:space="preserve">the TSC </w:t>
      </w:r>
      <w:r w:rsidR="00C42E1F">
        <w:rPr>
          <w:noProof/>
        </w:rPr>
        <w:t>characteristics</w:t>
      </w:r>
      <w:r>
        <w:rPr>
          <w:noProof/>
        </w:rPr>
        <w:t xml:space="preserve"> which </w:t>
      </w:r>
      <w:r w:rsidR="00C42E1F">
        <w:rPr>
          <w:noProof/>
        </w:rPr>
        <w:t>contain</w:t>
      </w:r>
      <w:r>
        <w:rPr>
          <w:noProof/>
        </w:rPr>
        <w:t xml:space="preserve"> direction, </w:t>
      </w:r>
      <w:r w:rsidR="00C42E1F">
        <w:rPr>
          <w:noProof/>
        </w:rPr>
        <w:t>periodicity</w:t>
      </w:r>
      <w:r>
        <w:rPr>
          <w:noProof/>
        </w:rPr>
        <w:t xml:space="preserve"> and burst </w:t>
      </w:r>
      <w:r w:rsidR="00C42E1F">
        <w:rPr>
          <w:noProof/>
        </w:rPr>
        <w:t>arrival</w:t>
      </w:r>
      <w:r>
        <w:rPr>
          <w:noProof/>
        </w:rPr>
        <w:t xml:space="preserve"> time.</w:t>
      </w:r>
      <w:bookmarkEnd w:id="6"/>
    </w:p>
    <w:p w14:paraId="1215829A" w14:textId="2E28FD33" w:rsidR="00C42E1F" w:rsidRPr="00D075F5" w:rsidRDefault="00C42E1F" w:rsidP="00EF0F21">
      <w:pPr>
        <w:pStyle w:val="Proposal"/>
      </w:pPr>
      <w:bookmarkStart w:id="7" w:name="_Toc118466555"/>
      <w:r>
        <w:t xml:space="preserve">RAN2 assumes to use TSCAI-like method to inform the </w:t>
      </w:r>
      <w:proofErr w:type="spellStart"/>
      <w:r>
        <w:t>gNB</w:t>
      </w:r>
      <w:proofErr w:type="spellEnd"/>
      <w:r>
        <w:t xml:space="preserve"> </w:t>
      </w:r>
      <w:r w:rsidR="00EF0F21">
        <w:t xml:space="preserve">with </w:t>
      </w:r>
      <w:r>
        <w:t xml:space="preserve">the </w:t>
      </w:r>
      <w:r w:rsidR="00EF0F21">
        <w:t>XR</w:t>
      </w:r>
      <w:r>
        <w:t xml:space="preserve"> characteristics which contain direction, </w:t>
      </w:r>
      <w:r w:rsidR="00DC3DC9">
        <w:t xml:space="preserve">burst </w:t>
      </w:r>
      <w:r>
        <w:t>periodicity and burst arrival time.</w:t>
      </w:r>
      <w:bookmarkEnd w:id="7"/>
    </w:p>
    <w:p w14:paraId="2F567A39" w14:textId="4B0971E8" w:rsidR="003B71EF" w:rsidRDefault="003B71EF" w:rsidP="00325471">
      <w:pPr>
        <w:pStyle w:val="afa"/>
      </w:pPr>
    </w:p>
    <w:p w14:paraId="7E0C2F1A" w14:textId="3AEF79E4" w:rsidR="002F4963" w:rsidRDefault="003B71EF" w:rsidP="00325471">
      <w:pPr>
        <w:pStyle w:val="afa"/>
      </w:pPr>
      <w:r>
        <w:t xml:space="preserve">For TSC, although </w:t>
      </w:r>
      <w:r w:rsidR="00160C90">
        <w:t xml:space="preserve">the </w:t>
      </w:r>
      <w:r>
        <w:t xml:space="preserve">burst size is not explicitly indicated in TSCAI, </w:t>
      </w:r>
      <w:r w:rsidR="00D851EA">
        <w:t xml:space="preserve">the </w:t>
      </w:r>
      <w:proofErr w:type="spellStart"/>
      <w:r w:rsidR="00D851EA">
        <w:t>gNB</w:t>
      </w:r>
      <w:proofErr w:type="spellEnd"/>
      <w:r w:rsidR="00D851EA">
        <w:t xml:space="preserve"> </w:t>
      </w:r>
      <w:r w:rsidR="00EB7DC8">
        <w:t xml:space="preserve">sometimes </w:t>
      </w:r>
      <w:r w:rsidR="00D851EA">
        <w:t xml:space="preserve">can </w:t>
      </w:r>
      <w:r w:rsidR="00D771DC">
        <w:t>use</w:t>
      </w:r>
      <w:r w:rsidR="00D851EA">
        <w:t xml:space="preserve"> </w:t>
      </w:r>
      <w:r>
        <w:t>MDB</w:t>
      </w:r>
      <w:r w:rsidR="00463756">
        <w:t>V</w:t>
      </w:r>
      <w:r w:rsidR="00D771DC">
        <w:t xml:space="preserve"> to</w:t>
      </w:r>
      <w:r>
        <w:t xml:space="preserve"> represent </w:t>
      </w:r>
      <w:r w:rsidR="00F050FF">
        <w:t xml:space="preserve">the </w:t>
      </w:r>
      <w:r>
        <w:t>TSC burst size</w:t>
      </w:r>
      <w:r w:rsidR="005E2F02">
        <w:t xml:space="preserve"> and</w:t>
      </w:r>
      <w:r w:rsidR="008974BE">
        <w:t xml:space="preserve"> then</w:t>
      </w:r>
      <w:r w:rsidR="005E2F02">
        <w:t xml:space="preserve"> the </w:t>
      </w:r>
      <w:proofErr w:type="spellStart"/>
      <w:r w:rsidR="005E2F02">
        <w:t>gNB</w:t>
      </w:r>
      <w:proofErr w:type="spellEnd"/>
      <w:r w:rsidR="005E2F02">
        <w:t xml:space="preserve"> know</w:t>
      </w:r>
      <w:r w:rsidR="007E4F6D">
        <w:t>s</w:t>
      </w:r>
      <w:r w:rsidR="005E2F02">
        <w:t xml:space="preserve"> </w:t>
      </w:r>
      <w:r w:rsidR="00BF6322">
        <w:t xml:space="preserve">the </w:t>
      </w:r>
      <w:r w:rsidR="005E2F02">
        <w:t xml:space="preserve">TSC burst size accordingly. </w:t>
      </w:r>
      <w:r w:rsidR="005B3749">
        <w:t>For the XR service,</w:t>
      </w:r>
      <w:r w:rsidR="005E2F02">
        <w:t xml:space="preserve"> this situation </w:t>
      </w:r>
      <w:r w:rsidR="00C96697">
        <w:t xml:space="preserve">seems </w:t>
      </w:r>
      <w:r w:rsidR="005E2F02">
        <w:t>chang</w:t>
      </w:r>
      <w:r w:rsidR="00C96697">
        <w:t>ed</w:t>
      </w:r>
      <w:r w:rsidR="005E2F02">
        <w:t xml:space="preserve"> </w:t>
      </w:r>
      <w:r w:rsidR="00E31200">
        <w:t xml:space="preserve">since </w:t>
      </w:r>
      <w:r w:rsidR="00266A70">
        <w:t xml:space="preserve">that </w:t>
      </w:r>
      <w:r w:rsidR="00E31200">
        <w:t xml:space="preserve">SA2 does not discuss </w:t>
      </w:r>
      <w:r w:rsidR="005B3749">
        <w:t xml:space="preserve">providing </w:t>
      </w:r>
      <w:r w:rsidR="00E31200">
        <w:t>the</w:t>
      </w:r>
      <w:r w:rsidR="007075A4">
        <w:t xml:space="preserve"> </w:t>
      </w:r>
      <w:r w:rsidR="009C2720">
        <w:t>maximum</w:t>
      </w:r>
      <w:r w:rsidR="00120148">
        <w:rPr>
          <w:rFonts w:hint="eastAsia"/>
        </w:rPr>
        <w:t>/</w:t>
      </w:r>
      <w:r w:rsidR="00120148">
        <w:t>minimum</w:t>
      </w:r>
      <w:r w:rsidR="009C2720">
        <w:t xml:space="preserve"> </w:t>
      </w:r>
      <w:r w:rsidR="00E31200">
        <w:t xml:space="preserve">burst size </w:t>
      </w:r>
      <w:r w:rsidR="005B3749">
        <w:t xml:space="preserve">to </w:t>
      </w:r>
      <w:r w:rsidR="00E31200">
        <w:t xml:space="preserve">the </w:t>
      </w:r>
      <w:proofErr w:type="spellStart"/>
      <w:r w:rsidR="00E31200">
        <w:t>gNB</w:t>
      </w:r>
      <w:proofErr w:type="spellEnd"/>
      <w:r w:rsidR="00E31200">
        <w:t xml:space="preserve"> and SA4 indicates in their reply </w:t>
      </w:r>
      <w:proofErr w:type="gramStart"/>
      <w:r w:rsidR="00E31200">
        <w:t>LS[</w:t>
      </w:r>
      <w:proofErr w:type="gramEnd"/>
      <w:r w:rsidR="00E31200">
        <w:t xml:space="preserve">3] that </w:t>
      </w:r>
      <w:r w:rsidR="009E309A">
        <w:t xml:space="preserve">the </w:t>
      </w:r>
      <w:proofErr w:type="spellStart"/>
      <w:r w:rsidR="009E309A">
        <w:t>gNB</w:t>
      </w:r>
      <w:proofErr w:type="spellEnd"/>
      <w:r w:rsidR="009E309A">
        <w:t xml:space="preserve"> </w:t>
      </w:r>
      <w:proofErr w:type="spellStart"/>
      <w:r w:rsidR="009E309A">
        <w:t>can not</w:t>
      </w:r>
      <w:proofErr w:type="spellEnd"/>
      <w:r w:rsidR="009E309A">
        <w:t xml:space="preserve"> be aware of </w:t>
      </w:r>
      <w:r w:rsidR="00D851EA">
        <w:t xml:space="preserve">each </w:t>
      </w:r>
      <w:r w:rsidR="009E309A">
        <w:t xml:space="preserve">data burst size </w:t>
      </w:r>
      <w:r w:rsidR="0041618A">
        <w:t>via the information from</w:t>
      </w:r>
      <w:r w:rsidR="009E309A">
        <w:t xml:space="preserve"> the core network even for downlink.</w:t>
      </w:r>
      <w:r w:rsidR="00D851EA">
        <w:t xml:space="preserve"> </w:t>
      </w:r>
      <w:r w:rsidR="00160C90">
        <w:t>In our view, i</w:t>
      </w:r>
      <w:r w:rsidR="002F4963">
        <w:t xml:space="preserve">f SA2/SA4 finally agrees on the feasibility of </w:t>
      </w:r>
      <w:r w:rsidR="00705017">
        <w:t>the</w:t>
      </w:r>
      <w:r w:rsidR="002F4963">
        <w:t xml:space="preserve"> burst size </w:t>
      </w:r>
      <w:r w:rsidR="00CB5400">
        <w:t xml:space="preserve">information </w:t>
      </w:r>
      <w:r w:rsidR="00705017">
        <w:t xml:space="preserve">provision </w:t>
      </w:r>
      <w:r w:rsidR="003948AA">
        <w:t xml:space="preserve">for </w:t>
      </w:r>
      <w:r w:rsidR="002F4963">
        <w:t xml:space="preserve">XR </w:t>
      </w:r>
      <w:r w:rsidR="003948AA">
        <w:t xml:space="preserve">service </w:t>
      </w:r>
      <w:r w:rsidR="002F4963">
        <w:t xml:space="preserve">to the </w:t>
      </w:r>
      <w:proofErr w:type="spellStart"/>
      <w:r w:rsidR="002F4963">
        <w:t>gNB</w:t>
      </w:r>
      <w:proofErr w:type="spellEnd"/>
      <w:r w:rsidR="002F4963">
        <w:t xml:space="preserve">, the </w:t>
      </w:r>
      <w:proofErr w:type="spellStart"/>
      <w:r w:rsidR="002F4963">
        <w:t>gNB</w:t>
      </w:r>
      <w:proofErr w:type="spellEnd"/>
      <w:r w:rsidR="002F4963">
        <w:t xml:space="preserve"> can benefit from such information </w:t>
      </w:r>
      <w:r w:rsidR="0036581A">
        <w:t>on</w:t>
      </w:r>
      <w:r w:rsidR="002F4963">
        <w:t xml:space="preserve"> efficient uplink grant scheduling, otherwise, </w:t>
      </w:r>
      <w:r w:rsidR="00985E4A">
        <w:t>we prefer the UE to report the</w:t>
      </w:r>
      <w:r w:rsidR="00E616FF">
        <w:t xml:space="preserve"> </w:t>
      </w:r>
      <w:r w:rsidR="00985E4A">
        <w:t>burst size</w:t>
      </w:r>
      <w:r w:rsidR="00CB5400">
        <w:t xml:space="preserve"> information</w:t>
      </w:r>
      <w:r w:rsidR="002F4963">
        <w:t xml:space="preserve"> to assist the CG allocation.</w:t>
      </w:r>
    </w:p>
    <w:p w14:paraId="7D99D67A" w14:textId="36340AA0" w:rsidR="00BD1711" w:rsidRDefault="00BD1711" w:rsidP="00BD1711">
      <w:pPr>
        <w:pStyle w:val="Proposal"/>
      </w:pPr>
      <w:bookmarkStart w:id="8" w:name="_Toc118466556"/>
      <w:r>
        <w:t xml:space="preserve">RAN2 considers the UE to report the </w:t>
      </w:r>
      <w:r w:rsidR="005C550E">
        <w:t>maximum</w:t>
      </w:r>
      <w:r w:rsidR="00D47982">
        <w:t xml:space="preserve"> or </w:t>
      </w:r>
      <w:r w:rsidR="005C550E">
        <w:t>minimum</w:t>
      </w:r>
      <w:r w:rsidR="005C550E">
        <w:t xml:space="preserve"> </w:t>
      </w:r>
      <w:r>
        <w:t xml:space="preserve">burst size </w:t>
      </w:r>
      <w:r w:rsidR="008076AB">
        <w:t xml:space="preserve">information </w:t>
      </w:r>
      <w:r w:rsidR="00EE5675">
        <w:t>to</w:t>
      </w:r>
      <w:r>
        <w:t xml:space="preserve"> the </w:t>
      </w:r>
      <w:proofErr w:type="spellStart"/>
      <w:r>
        <w:t>gNB</w:t>
      </w:r>
      <w:proofErr w:type="spellEnd"/>
      <w:r w:rsidR="00D55879">
        <w:t xml:space="preserve"> if such information </w:t>
      </w:r>
      <w:proofErr w:type="spellStart"/>
      <w:r w:rsidR="00D55879">
        <w:t>can not</w:t>
      </w:r>
      <w:proofErr w:type="spellEnd"/>
      <w:r w:rsidR="00D55879">
        <w:t xml:space="preserve"> be obtained </w:t>
      </w:r>
      <w:r w:rsidR="00123527">
        <w:t xml:space="preserve">by the </w:t>
      </w:r>
      <w:proofErr w:type="spellStart"/>
      <w:r w:rsidR="00123527">
        <w:t>gNB</w:t>
      </w:r>
      <w:proofErr w:type="spellEnd"/>
      <w:r w:rsidR="00123527">
        <w:t xml:space="preserve"> </w:t>
      </w:r>
      <w:r w:rsidR="00D55879">
        <w:t xml:space="preserve">from the </w:t>
      </w:r>
      <w:r w:rsidR="00D55879">
        <w:rPr>
          <w:rFonts w:hint="eastAsia"/>
        </w:rPr>
        <w:t>SMF</w:t>
      </w:r>
      <w:r>
        <w:t>.</w:t>
      </w:r>
      <w:bookmarkEnd w:id="8"/>
    </w:p>
    <w:p w14:paraId="6BEA9038" w14:textId="612D5A97" w:rsidR="00D55879" w:rsidRPr="00D075F5" w:rsidRDefault="00E22FC6" w:rsidP="00BD1711">
      <w:pPr>
        <w:pStyle w:val="Proposal"/>
      </w:pPr>
      <w:bookmarkStart w:id="9" w:name="_Toc118466557"/>
      <w:r>
        <w:rPr>
          <w:rFonts w:hint="eastAsia"/>
        </w:rPr>
        <w:t>A</w:t>
      </w:r>
      <w:r>
        <w:t xml:space="preserve"> </w:t>
      </w:r>
      <w:r>
        <w:rPr>
          <w:rFonts w:hint="eastAsia"/>
        </w:rPr>
        <w:t>LS</w:t>
      </w:r>
      <w:r>
        <w:t xml:space="preserve"> to SA2 to confirm the feasibility </w:t>
      </w:r>
      <w:r w:rsidR="003342BA">
        <w:t>of</w:t>
      </w:r>
      <w:r>
        <w:t xml:space="preserve"> </w:t>
      </w:r>
      <w:r w:rsidR="008076AB">
        <w:t xml:space="preserve">the </w:t>
      </w:r>
      <w:r w:rsidR="005C550E">
        <w:t>maximum</w:t>
      </w:r>
      <w:r w:rsidR="00D47982">
        <w:t xml:space="preserve"> or </w:t>
      </w:r>
      <w:r w:rsidR="005C550E">
        <w:t>minimum</w:t>
      </w:r>
      <w:r w:rsidR="003044FC">
        <w:t xml:space="preserve"> </w:t>
      </w:r>
      <w:r>
        <w:t xml:space="preserve">burst size </w:t>
      </w:r>
      <w:r w:rsidR="008076AB">
        <w:t xml:space="preserve">information </w:t>
      </w:r>
      <w:r w:rsidR="00532FC8">
        <w:t>provision</w:t>
      </w:r>
      <w:r w:rsidR="007A758D" w:rsidRPr="007A758D">
        <w:t xml:space="preserve"> </w:t>
      </w:r>
      <w:r w:rsidR="007A758D">
        <w:t xml:space="preserve">to the </w:t>
      </w:r>
      <w:proofErr w:type="spellStart"/>
      <w:r w:rsidR="007A758D">
        <w:t>gNB</w:t>
      </w:r>
      <w:proofErr w:type="spellEnd"/>
      <w:r w:rsidR="00532FC8">
        <w:t xml:space="preserve"> </w:t>
      </w:r>
      <w:r w:rsidR="000B5CEC">
        <w:t xml:space="preserve">from the core network </w:t>
      </w:r>
      <w:r w:rsidR="00532FC8">
        <w:t>for the XR service</w:t>
      </w:r>
      <w:r w:rsidR="003B49F1">
        <w:t>.</w:t>
      </w:r>
      <w:bookmarkEnd w:id="9"/>
    </w:p>
    <w:p w14:paraId="4BD56CC1" w14:textId="552A6AF8" w:rsidR="003B71EF" w:rsidRPr="005C550E" w:rsidRDefault="003B71EF" w:rsidP="00325471">
      <w:pPr>
        <w:pStyle w:val="afa"/>
      </w:pPr>
    </w:p>
    <w:p w14:paraId="09D9FE2E" w14:textId="5A276E48" w:rsidR="006E7E43" w:rsidRDefault="00D03B01" w:rsidP="006E7E43">
      <w:pPr>
        <w:pStyle w:val="afa"/>
        <w:rPr>
          <w:lang w:val="en-US"/>
        </w:rPr>
      </w:pPr>
      <w:r>
        <w:rPr>
          <w:rFonts w:hint="eastAsia"/>
        </w:rPr>
        <w:t>I</w:t>
      </w:r>
      <w:r>
        <w:t>f the CG(s)</w:t>
      </w:r>
      <w:r w:rsidR="00E73A5F">
        <w:t xml:space="preserve"> size</w:t>
      </w:r>
      <w:r>
        <w:t xml:space="preserve"> allocated </w:t>
      </w:r>
      <w:r w:rsidR="00E73A5F">
        <w:t xml:space="preserve">is larger than </w:t>
      </w:r>
      <w:r w:rsidR="005345EC">
        <w:t>a</w:t>
      </w:r>
      <w:r w:rsidR="00E73A5F">
        <w:t xml:space="preserve"> specific XR packet size</w:t>
      </w:r>
      <w:r>
        <w:t>,</w:t>
      </w:r>
      <w:r w:rsidR="001A09A1">
        <w:t xml:space="preserve"> </w:t>
      </w:r>
      <w:r w:rsidR="001A09A1">
        <w:rPr>
          <w:lang w:val="en-US"/>
        </w:rPr>
        <w:t>resource waste</w:t>
      </w:r>
      <w:r w:rsidR="00120D30" w:rsidRPr="00120D30">
        <w:t xml:space="preserve"> </w:t>
      </w:r>
      <w:r w:rsidR="00120D30">
        <w:t>exists obviously</w:t>
      </w:r>
      <w:r w:rsidR="00120D30">
        <w:rPr>
          <w:lang w:val="en-US"/>
        </w:rPr>
        <w:t>,</w:t>
      </w:r>
      <w:r w:rsidR="001A09A1">
        <w:rPr>
          <w:lang w:val="en-US"/>
        </w:rPr>
        <w:t xml:space="preserve"> since not all PUSCH occasions</w:t>
      </w:r>
      <w:r w:rsidR="00120D30">
        <w:rPr>
          <w:lang w:val="en-US"/>
        </w:rPr>
        <w:t xml:space="preserve"> allocated</w:t>
      </w:r>
      <w:r w:rsidR="001A09A1">
        <w:rPr>
          <w:lang w:val="en-US"/>
        </w:rPr>
        <w:t xml:space="preserve"> are actually used </w:t>
      </w:r>
      <w:r w:rsidR="00120D30">
        <w:rPr>
          <w:lang w:val="en-US"/>
        </w:rPr>
        <w:t xml:space="preserve">in this </w:t>
      </w:r>
      <w:r w:rsidR="001A09A1">
        <w:rPr>
          <w:lang w:val="en-US"/>
        </w:rPr>
        <w:t xml:space="preserve">XR </w:t>
      </w:r>
      <w:r w:rsidR="008D2411">
        <w:rPr>
          <w:lang w:val="en-US"/>
        </w:rPr>
        <w:t>period</w:t>
      </w:r>
      <w:r w:rsidR="00DA39A0">
        <w:rPr>
          <w:lang w:val="en-US"/>
        </w:rPr>
        <w:t xml:space="preserve">. </w:t>
      </w:r>
      <w:r w:rsidR="006E7E43">
        <w:rPr>
          <w:lang w:val="en-US"/>
        </w:rPr>
        <w:t>Resource usage adaptation can be considered herein to improve the system capacity.</w:t>
      </w:r>
      <w:r w:rsidR="00870FF0">
        <w:rPr>
          <w:lang w:val="en-US"/>
        </w:rPr>
        <w:t xml:space="preserve"> In </w:t>
      </w:r>
      <w:r w:rsidR="00116BFF">
        <w:rPr>
          <w:lang w:val="en-US"/>
        </w:rPr>
        <w:t xml:space="preserve">the </w:t>
      </w:r>
      <w:r w:rsidR="00870FF0">
        <w:rPr>
          <w:lang w:val="en-US"/>
        </w:rPr>
        <w:t>RAN1#</w:t>
      </w:r>
      <w:r w:rsidR="004D5A3E">
        <w:rPr>
          <w:rFonts w:cs="Arial"/>
          <w:color w:val="111112"/>
          <w:shd w:val="clear" w:color="auto" w:fill="FFFFFF"/>
        </w:rPr>
        <w:t xml:space="preserve">110bis </w:t>
      </w:r>
      <w:r w:rsidR="00116BFF">
        <w:rPr>
          <w:lang w:val="en-US"/>
        </w:rPr>
        <w:t xml:space="preserve">meeting, </w:t>
      </w:r>
      <w:r w:rsidR="00666D49">
        <w:rPr>
          <w:lang w:val="en-US"/>
        </w:rPr>
        <w:t>a potential direction is assumed</w:t>
      </w:r>
      <w:r w:rsidR="00116BFF">
        <w:rPr>
          <w:lang w:val="en-US"/>
        </w:rPr>
        <w:t xml:space="preserve"> </w:t>
      </w:r>
      <w:r w:rsidR="00666D49">
        <w:rPr>
          <w:lang w:val="en-US"/>
        </w:rPr>
        <w:t xml:space="preserve">to resolve </w:t>
      </w:r>
      <w:r w:rsidR="00116BFF">
        <w:rPr>
          <w:lang w:val="en-US"/>
        </w:rPr>
        <w:t>this issue. To avoid the parallel discussion in RAN1 and RAN2, we prefer RAN2 to wait for RAN1’s further decision.</w:t>
      </w:r>
    </w:p>
    <w:p w14:paraId="55F6274C" w14:textId="77777777" w:rsidR="006E7E43" w:rsidRPr="001E061A" w:rsidRDefault="006E7E43" w:rsidP="006E7E43">
      <w:pPr>
        <w:rPr>
          <w:rFonts w:ascii="Times New Roman" w:hAnsi="Times New Roman"/>
          <w:b/>
          <w:bCs/>
          <w:i/>
          <w:highlight w:val="green"/>
          <w:lang w:val="en-US" w:eastAsia="ja-JP"/>
        </w:rPr>
      </w:pPr>
      <w:r w:rsidRPr="001E061A">
        <w:rPr>
          <w:rFonts w:ascii="Times New Roman" w:hAnsi="Times New Roman"/>
          <w:b/>
          <w:bCs/>
          <w:i/>
          <w:highlight w:val="green"/>
          <w:lang w:val="en-US" w:eastAsia="ja-JP"/>
        </w:rPr>
        <w:t>Agreement</w:t>
      </w:r>
    </w:p>
    <w:p w14:paraId="5F4E5FFB" w14:textId="77777777" w:rsidR="006E7E43" w:rsidRPr="001E061A" w:rsidRDefault="006E7E43" w:rsidP="006E7E43">
      <w:pPr>
        <w:pStyle w:val="aff4"/>
        <w:spacing w:line="259" w:lineRule="auto"/>
        <w:ind w:left="0"/>
        <w:rPr>
          <w:rFonts w:ascii="Times New Roman" w:hAnsi="Times New Roman"/>
          <w:i/>
          <w:szCs w:val="20"/>
          <w:lang w:val="en-US" w:eastAsia="ja-JP"/>
        </w:rPr>
      </w:pPr>
      <w:r w:rsidRPr="001E061A">
        <w:rPr>
          <w:rFonts w:ascii="Times New Roman" w:hAnsi="Times New Roman"/>
          <w:i/>
          <w:szCs w:val="20"/>
          <w:lang w:val="en-US" w:eastAsia="ja-JP"/>
        </w:rPr>
        <w:t>To study whether/how the enhanced CG candidate techniques are necessary and beneficial for improving XR capacity, focus at least on the following techniques:</w:t>
      </w:r>
    </w:p>
    <w:p w14:paraId="5CC50410" w14:textId="77777777" w:rsidR="006E7E43" w:rsidRPr="00772E18" w:rsidRDefault="006E7E43" w:rsidP="006E7E43">
      <w:pPr>
        <w:pStyle w:val="aff4"/>
        <w:numPr>
          <w:ilvl w:val="0"/>
          <w:numId w:val="3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i/>
          <w:szCs w:val="20"/>
          <w:highlight w:val="green"/>
          <w:lang w:val="en-US"/>
        </w:rPr>
      </w:pPr>
      <w:r w:rsidRPr="00772E18">
        <w:rPr>
          <w:rFonts w:ascii="Times New Roman" w:hAnsi="Times New Roman"/>
          <w:i/>
          <w:szCs w:val="20"/>
          <w:highlight w:val="green"/>
          <w:lang w:val="en-US"/>
        </w:rPr>
        <w:t>Dynamic indication of the unused CG PUSCH occasion(s) or resource(s) by the UE</w:t>
      </w:r>
    </w:p>
    <w:p w14:paraId="0D39B886" w14:textId="77777777" w:rsidR="006E7E43" w:rsidRPr="001E061A" w:rsidRDefault="006E7E43" w:rsidP="006E7E43">
      <w:pPr>
        <w:pStyle w:val="aff4"/>
        <w:numPr>
          <w:ilvl w:val="0"/>
          <w:numId w:val="3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i/>
          <w:szCs w:val="20"/>
          <w:lang w:val="en-US" w:eastAsia="ja-JP"/>
        </w:rPr>
      </w:pPr>
      <w:r w:rsidRPr="001E061A">
        <w:rPr>
          <w:rFonts w:ascii="Times New Roman" w:eastAsia="Malgun Gothic" w:hAnsi="Times New Roman"/>
          <w:i/>
          <w:szCs w:val="20"/>
          <w:lang w:val="en-US"/>
        </w:rPr>
        <w:t xml:space="preserve">Increase CG PUSCH transmission occasions in a duration </w:t>
      </w:r>
    </w:p>
    <w:p w14:paraId="7A68B6EE" w14:textId="77777777" w:rsidR="006E7E43" w:rsidRPr="00E300EE" w:rsidRDefault="006E7E43" w:rsidP="006E7E43">
      <w:pPr>
        <w:pStyle w:val="afa"/>
      </w:pPr>
    </w:p>
    <w:p w14:paraId="2A416905" w14:textId="6D045A24" w:rsidR="00FB6E3D" w:rsidRDefault="006E7E43" w:rsidP="006E7E43">
      <w:pPr>
        <w:pStyle w:val="Proposal"/>
      </w:pPr>
      <w:bookmarkStart w:id="10" w:name="_Toc118466558"/>
      <w:r>
        <w:t>RAN2 waits for RAN1</w:t>
      </w:r>
      <w:r w:rsidR="00FF3CEC">
        <w:t>’s</w:t>
      </w:r>
      <w:r>
        <w:t xml:space="preserve"> progress on </w:t>
      </w:r>
      <w:r w:rsidR="00FB6E3D">
        <w:rPr>
          <w:lang w:val="en-US"/>
        </w:rPr>
        <w:t>resource usage adaptation</w:t>
      </w:r>
      <w:r w:rsidR="00FB6E3D">
        <w:t xml:space="preserve"> for the system capacity improvement</w:t>
      </w:r>
      <w:r w:rsidR="00F43DE3">
        <w:t>.</w:t>
      </w:r>
      <w:bookmarkEnd w:id="10"/>
    </w:p>
    <w:p w14:paraId="30E0D30D" w14:textId="77777777" w:rsidR="00D03B01" w:rsidRPr="003B49F1" w:rsidRDefault="00D03B01" w:rsidP="00325471">
      <w:pPr>
        <w:pStyle w:val="afa"/>
      </w:pPr>
    </w:p>
    <w:p w14:paraId="1123141C" w14:textId="2B63A45D" w:rsidR="0040227A" w:rsidRDefault="000A6F68" w:rsidP="0040227A">
      <w:pPr>
        <w:pStyle w:val="afa"/>
      </w:pPr>
      <w:r>
        <w:rPr>
          <w:rFonts w:hint="eastAsia"/>
        </w:rPr>
        <w:t>A</w:t>
      </w:r>
      <w:r>
        <w:t>ccording to the RAN1</w:t>
      </w:r>
      <w:r w:rsidR="00510367">
        <w:t>’s</w:t>
      </w:r>
      <w:r>
        <w:t xml:space="preserve"> assumption in</w:t>
      </w:r>
      <w:r w:rsidR="006C0AEA">
        <w:t xml:space="preserve"> </w:t>
      </w:r>
      <w:r w:rsidRPr="00A52508">
        <w:t>TR 38.838</w:t>
      </w:r>
      <w:r>
        <w:t>, one characteristic of the agreed XR traffic model is</w:t>
      </w:r>
      <w:r w:rsidRPr="000A6F68">
        <w:rPr>
          <w:rFonts w:hint="eastAsia"/>
        </w:rPr>
        <w:t xml:space="preserve"> </w:t>
      </w:r>
      <w:r>
        <w:rPr>
          <w:rFonts w:hint="eastAsia"/>
        </w:rPr>
        <w:t>l</w:t>
      </w:r>
      <w:r w:rsidRPr="000A6F68">
        <w:t>arge and various packet size</w:t>
      </w:r>
      <w:r>
        <w:t>.</w:t>
      </w:r>
      <w:r w:rsidR="006D498B">
        <w:t xml:space="preserve"> </w:t>
      </w:r>
      <w:r w:rsidR="006D498B">
        <w:rPr>
          <w:rFonts w:eastAsiaTheme="minorEastAsia"/>
        </w:rPr>
        <w:t xml:space="preserve">Take </w:t>
      </w:r>
      <w:r w:rsidR="006D498B" w:rsidRPr="00CC46B2">
        <w:t xml:space="preserve">AR/VR </w:t>
      </w:r>
      <w:r w:rsidR="006D498B">
        <w:t>1</w:t>
      </w:r>
      <w:r w:rsidR="006D498B" w:rsidRPr="00CC46B2">
        <w:t>0Mbps</w:t>
      </w:r>
      <w:r w:rsidR="006D498B">
        <w:t xml:space="preserve"> as an example, the </w:t>
      </w:r>
      <w:r w:rsidR="006D498B" w:rsidRPr="00CC46B2">
        <w:t xml:space="preserve">mean packet size is </w:t>
      </w:r>
      <w:r w:rsidR="006D498B">
        <w:t>20833</w:t>
      </w:r>
      <w:r w:rsidR="006D498B" w:rsidRPr="00CC46B2">
        <w:t xml:space="preserve"> bytes</w:t>
      </w:r>
      <w:r w:rsidR="006D498B">
        <w:t xml:space="preserve"> if the p</w:t>
      </w:r>
      <w:r w:rsidR="006D498B" w:rsidRPr="00D60C61">
        <w:t>acket arrival interval</w:t>
      </w:r>
      <w:r w:rsidR="006D498B">
        <w:t xml:space="preserve"> is 16.67ms. </w:t>
      </w:r>
      <w:r w:rsidR="0040227A">
        <w:t xml:space="preserve">As simulated, it needs more than one slot to transmit all the data of one </w:t>
      </w:r>
      <w:r w:rsidR="006C0AEA">
        <w:rPr>
          <w:rFonts w:hint="eastAsia"/>
        </w:rPr>
        <w:t>XR</w:t>
      </w:r>
      <w:r w:rsidR="006C0AEA">
        <w:t xml:space="preserve"> </w:t>
      </w:r>
      <w:r w:rsidR="0040227A">
        <w:t xml:space="preserve">packet. Thus, </w:t>
      </w:r>
      <w:r w:rsidR="0092526F">
        <w:t xml:space="preserve">we would like RAN2 to consider </w:t>
      </w:r>
      <w:r w:rsidR="0040227A" w:rsidRPr="00CC46B2">
        <w:t>mul</w:t>
      </w:r>
      <w:r w:rsidR="0040227A">
        <w:t xml:space="preserve">tiple </w:t>
      </w:r>
      <w:r w:rsidR="0040227A" w:rsidRPr="00CC46B2">
        <w:t>PUSCH transmission</w:t>
      </w:r>
      <w:r w:rsidR="0040227A">
        <w:t xml:space="preserve"> occasions </w:t>
      </w:r>
      <w:r w:rsidR="00DD701A">
        <w:t xml:space="preserve">for one XR </w:t>
      </w:r>
      <w:r w:rsidR="0040227A" w:rsidRPr="00CC46B2">
        <w:rPr>
          <w:lang w:eastAsia="sv-SE"/>
        </w:rPr>
        <w:t>packet</w:t>
      </w:r>
      <w:r w:rsidR="0092526F">
        <w:rPr>
          <w:lang w:eastAsia="sv-SE"/>
        </w:rPr>
        <w:t xml:space="preserve"> and prefer Alt1 since </w:t>
      </w:r>
      <w:r w:rsidR="005C058F">
        <w:rPr>
          <w:lang w:eastAsia="sv-SE"/>
        </w:rPr>
        <w:t xml:space="preserve">Alt2 </w:t>
      </w:r>
      <w:r w:rsidR="005F5557">
        <w:rPr>
          <w:lang w:eastAsia="sv-SE"/>
        </w:rPr>
        <w:t>consume</w:t>
      </w:r>
      <w:r w:rsidR="00327666">
        <w:rPr>
          <w:lang w:eastAsia="sv-SE"/>
        </w:rPr>
        <w:t>s</w:t>
      </w:r>
      <w:r w:rsidR="007D19E6">
        <w:rPr>
          <w:lang w:eastAsia="sv-SE"/>
        </w:rPr>
        <w:t xml:space="preserve"> more CG index </w:t>
      </w:r>
      <w:r w:rsidR="005F5557">
        <w:rPr>
          <w:lang w:eastAsia="sv-SE"/>
        </w:rPr>
        <w:t xml:space="preserve">but </w:t>
      </w:r>
      <w:r w:rsidR="00EA0276">
        <w:rPr>
          <w:lang w:eastAsia="sv-SE"/>
        </w:rPr>
        <w:t xml:space="preserve">only </w:t>
      </w:r>
      <w:r w:rsidR="005F5557">
        <w:rPr>
          <w:lang w:eastAsia="sv-SE"/>
        </w:rPr>
        <w:t>12 CG</w:t>
      </w:r>
      <w:r w:rsidR="00ED5662">
        <w:rPr>
          <w:lang w:eastAsia="sv-SE"/>
        </w:rPr>
        <w:t>s</w:t>
      </w:r>
      <w:r w:rsidR="005F5557">
        <w:rPr>
          <w:lang w:eastAsia="sv-SE"/>
        </w:rPr>
        <w:t xml:space="preserve"> </w:t>
      </w:r>
      <w:r w:rsidR="00124D97">
        <w:rPr>
          <w:lang w:eastAsia="sv-SE"/>
        </w:rPr>
        <w:t>can</w:t>
      </w:r>
      <w:r w:rsidR="005F5557">
        <w:rPr>
          <w:lang w:eastAsia="sv-SE"/>
        </w:rPr>
        <w:t xml:space="preserve"> be activated together till now</w:t>
      </w:r>
      <w:r w:rsidR="0040227A">
        <w:rPr>
          <w:lang w:eastAsia="sv-SE"/>
        </w:rPr>
        <w:t>.</w:t>
      </w:r>
    </w:p>
    <w:p w14:paraId="09C7412E" w14:textId="77777777" w:rsidR="0040227A" w:rsidRPr="001A67B8" w:rsidRDefault="0040227A" w:rsidP="0040227A">
      <w:pPr>
        <w:pStyle w:val="afa"/>
        <w:numPr>
          <w:ilvl w:val="0"/>
          <w:numId w:val="16"/>
        </w:numPr>
        <w:spacing w:line="264" w:lineRule="auto"/>
      </w:pPr>
      <w:r>
        <w:rPr>
          <w:rFonts w:hint="eastAsia"/>
        </w:rPr>
        <w:t>A</w:t>
      </w:r>
      <w:r>
        <w:t xml:space="preserve">lt1: </w:t>
      </w:r>
      <w:r w:rsidRPr="001A67B8">
        <w:rPr>
          <w:lang w:val="en-US"/>
        </w:rPr>
        <w:t>Allocate multiple PUSCH transmission occasions in each CG period</w:t>
      </w:r>
      <w:r>
        <w:rPr>
          <w:lang w:val="en-US"/>
        </w:rPr>
        <w:t xml:space="preserve"> of the CG configuration. </w:t>
      </w:r>
      <w:r>
        <w:rPr>
          <w:rFonts w:hint="eastAsia"/>
          <w:lang w:val="en-US"/>
        </w:rPr>
        <w:t>Each</w:t>
      </w:r>
      <w:r>
        <w:rPr>
          <w:lang w:val="en-US"/>
        </w:rPr>
        <w:t xml:space="preserve"> </w:t>
      </w:r>
      <w:r>
        <w:rPr>
          <w:rFonts w:hint="eastAsia"/>
          <w:lang w:val="en-US"/>
        </w:rPr>
        <w:t>occasion</w:t>
      </w:r>
      <w:r>
        <w:rPr>
          <w:lang w:val="en-US"/>
        </w:rPr>
        <w:t xml:space="preserve"> carries individual</w:t>
      </w:r>
      <w:r w:rsidDel="00BE0E8D">
        <w:rPr>
          <w:lang w:val="en-US"/>
        </w:rPr>
        <w:t xml:space="preserve"> </w:t>
      </w:r>
      <w:r>
        <w:rPr>
          <w:lang w:val="en-US"/>
        </w:rPr>
        <w:t xml:space="preserve">data associated with one XR packet. </w:t>
      </w:r>
    </w:p>
    <w:p w14:paraId="3C1C2E5E" w14:textId="77777777" w:rsidR="0040227A" w:rsidRPr="00A457A0" w:rsidRDefault="0040227A" w:rsidP="0040227A">
      <w:pPr>
        <w:pStyle w:val="afa"/>
        <w:numPr>
          <w:ilvl w:val="0"/>
          <w:numId w:val="16"/>
        </w:numPr>
        <w:spacing w:line="264" w:lineRule="auto"/>
      </w:pPr>
      <w:r>
        <w:rPr>
          <w:rFonts w:hint="eastAsia"/>
        </w:rPr>
        <w:t>A</w:t>
      </w:r>
      <w:r>
        <w:t xml:space="preserve">lt2: </w:t>
      </w:r>
      <w:r w:rsidRPr="001A67B8">
        <w:t xml:space="preserve">Configure </w:t>
      </w:r>
      <w:r w:rsidRPr="001A67B8">
        <w:rPr>
          <w:lang w:val="en-US"/>
        </w:rPr>
        <w:t>multiple CG</w:t>
      </w:r>
      <w:r>
        <w:rPr>
          <w:lang w:val="en-US"/>
        </w:rPr>
        <w:t xml:space="preserve"> configuration</w:t>
      </w:r>
      <w:r w:rsidRPr="001A67B8">
        <w:rPr>
          <w:lang w:val="en-US"/>
        </w:rPr>
        <w:t>s</w:t>
      </w:r>
      <w:r>
        <w:rPr>
          <w:lang w:val="en-US"/>
        </w:rPr>
        <w:t xml:space="preserve"> which are used together for one XR service. In each CG configuration, each CG period has </w:t>
      </w:r>
      <w:r w:rsidRPr="001A67B8">
        <w:rPr>
          <w:lang w:val="en-US"/>
        </w:rPr>
        <w:t>one PUSCH transmission occasion</w:t>
      </w:r>
      <w:r>
        <w:rPr>
          <w:lang w:val="en-US"/>
        </w:rPr>
        <w:t>.</w:t>
      </w:r>
    </w:p>
    <w:p w14:paraId="47071B83" w14:textId="0C1ACAA5" w:rsidR="0040227A" w:rsidRPr="00D075F5" w:rsidRDefault="0040227A" w:rsidP="00E12D87">
      <w:pPr>
        <w:pStyle w:val="Proposal"/>
      </w:pPr>
      <w:bookmarkStart w:id="11" w:name="_Toc118466559"/>
      <w:r>
        <w:t>RAN2 considers</w:t>
      </w:r>
      <w:r w:rsidR="00A11240">
        <w:t xml:space="preserve"> to allocate </w:t>
      </w:r>
      <w:r w:rsidR="00E12D87">
        <w:rPr>
          <w:rFonts w:hint="eastAsia"/>
        </w:rPr>
        <w:t>m</w:t>
      </w:r>
      <w:proofErr w:type="spellStart"/>
      <w:r w:rsidRPr="00E12D87">
        <w:rPr>
          <w:lang w:val="en-US"/>
        </w:rPr>
        <w:t>ultiple</w:t>
      </w:r>
      <w:proofErr w:type="spellEnd"/>
      <w:r w:rsidRPr="00E12D87">
        <w:rPr>
          <w:lang w:val="en-US"/>
        </w:rPr>
        <w:t xml:space="preserve"> PUSCH transmission occasions in each CG period of a CG configuration. </w:t>
      </w:r>
      <w:r w:rsidRPr="00E12D87">
        <w:rPr>
          <w:rFonts w:hint="eastAsia"/>
          <w:lang w:val="en-US"/>
        </w:rPr>
        <w:t>Each</w:t>
      </w:r>
      <w:r w:rsidRPr="00E12D87">
        <w:rPr>
          <w:lang w:val="en-US"/>
        </w:rPr>
        <w:t xml:space="preserve"> </w:t>
      </w:r>
      <w:r w:rsidRPr="00E12D87">
        <w:rPr>
          <w:rFonts w:hint="eastAsia"/>
          <w:lang w:val="en-US"/>
        </w:rPr>
        <w:t>occasion</w:t>
      </w:r>
      <w:r w:rsidRPr="00E12D87">
        <w:rPr>
          <w:lang w:val="en-US"/>
        </w:rPr>
        <w:t xml:space="preserve"> carries individual data associated with one XR packet.</w:t>
      </w:r>
      <w:bookmarkEnd w:id="11"/>
      <w:r w:rsidRPr="00E12D87" w:rsidDel="002A6BC5">
        <w:rPr>
          <w:rStyle w:val="af2"/>
          <w:b w:val="0"/>
          <w:bCs w:val="0"/>
        </w:rPr>
        <w:t xml:space="preserve"> </w:t>
      </w:r>
    </w:p>
    <w:p w14:paraId="6F957C4E" w14:textId="320486CE" w:rsidR="0040227A" w:rsidRDefault="0040227A" w:rsidP="0040227A">
      <w:pPr>
        <w:pStyle w:val="afa"/>
        <w:spacing w:line="264" w:lineRule="auto"/>
        <w:rPr>
          <w:lang w:val="en-US"/>
        </w:rPr>
      </w:pPr>
      <w:r>
        <w:rPr>
          <w:lang w:val="en-US"/>
        </w:rPr>
        <w:t xml:space="preserve">If RAN2 agrees that </w:t>
      </w:r>
      <w:r w:rsidRPr="0020102A">
        <w:rPr>
          <w:lang w:val="en-US"/>
        </w:rPr>
        <w:t xml:space="preserve">each CG period </w:t>
      </w:r>
      <w:r>
        <w:rPr>
          <w:lang w:val="en-US"/>
        </w:rPr>
        <w:t xml:space="preserve">includes </w:t>
      </w:r>
      <w:r w:rsidRPr="0020102A">
        <w:rPr>
          <w:lang w:val="en-US"/>
        </w:rPr>
        <w:t>multiple PUSCH transmission occasions</w:t>
      </w:r>
      <w:r>
        <w:rPr>
          <w:lang w:val="en-US"/>
        </w:rPr>
        <w:t xml:space="preserve">, another issue to be </w:t>
      </w:r>
      <w:r w:rsidR="00DD41B0">
        <w:rPr>
          <w:lang w:val="en-US"/>
        </w:rPr>
        <w:t>decided</w:t>
      </w:r>
      <w:r>
        <w:rPr>
          <w:lang w:val="en-US"/>
        </w:rPr>
        <w:t xml:space="preserve"> is how to calculate the HARQ process ID for each</w:t>
      </w:r>
      <w:r w:rsidR="009B69AC">
        <w:rPr>
          <w:lang w:val="en-US"/>
        </w:rPr>
        <w:t xml:space="preserve"> CG</w:t>
      </w:r>
      <w:r>
        <w:rPr>
          <w:lang w:val="en-US"/>
        </w:rPr>
        <w:t xml:space="preserve"> occasion assuming different occasions in one period support different data transmissions. </w:t>
      </w:r>
    </w:p>
    <w:p w14:paraId="54CEA9F5" w14:textId="4D528DF9" w:rsidR="0040227A" w:rsidRPr="00C86BB5" w:rsidRDefault="0040227A" w:rsidP="0040227A">
      <w:pPr>
        <w:pStyle w:val="Proposal"/>
      </w:pPr>
      <w:bookmarkStart w:id="12" w:name="_Toc118466560"/>
      <w:r>
        <w:lastRenderedPageBreak/>
        <w:t xml:space="preserve">If RAN2 agrees </w:t>
      </w:r>
      <w:r w:rsidR="00A31527">
        <w:t xml:space="preserve">to configure </w:t>
      </w:r>
      <w:r w:rsidRPr="001A67B8">
        <w:rPr>
          <w:lang w:val="en-US"/>
        </w:rPr>
        <w:t>multiple PUSCH transmission occasions in each CG period</w:t>
      </w:r>
      <w:r>
        <w:rPr>
          <w:lang w:val="en-US"/>
        </w:rPr>
        <w:t xml:space="preserve"> of a CG configuration, how to calculate the</w:t>
      </w:r>
      <w:r w:rsidRPr="00C86BB5">
        <w:rPr>
          <w:lang w:val="en-US"/>
        </w:rPr>
        <w:t xml:space="preserve"> </w:t>
      </w:r>
      <w:r>
        <w:rPr>
          <w:lang w:val="en-US"/>
        </w:rPr>
        <w:t>HARQ process ID of each occasion should be studied.</w:t>
      </w:r>
      <w:bookmarkEnd w:id="12"/>
    </w:p>
    <w:p w14:paraId="0DD057B4" w14:textId="18B4BC4C" w:rsidR="00AD748A" w:rsidRDefault="00AD748A" w:rsidP="00325471">
      <w:pPr>
        <w:pStyle w:val="afa"/>
      </w:pPr>
    </w:p>
    <w:p w14:paraId="730DBD70" w14:textId="26E2DA6B" w:rsidR="00325471" w:rsidRPr="0040227A" w:rsidRDefault="005F0312" w:rsidP="0040227A">
      <w:pPr>
        <w:pStyle w:val="afa"/>
      </w:pPr>
      <w:r>
        <w:rPr>
          <w:rFonts w:hint="eastAsia"/>
        </w:rPr>
        <w:t>A</w:t>
      </w:r>
      <w:r>
        <w:t xml:space="preserve">nother characteristic of the agreed XR traffic model in </w:t>
      </w:r>
      <w:r w:rsidRPr="00A52508">
        <w:t>TR 38.838</w:t>
      </w:r>
      <w:r>
        <w:t xml:space="preserve"> is the n</w:t>
      </w:r>
      <w:r w:rsidRPr="004F6E28">
        <w:rPr>
          <w:noProof/>
        </w:rPr>
        <w:t>on-integer period</w:t>
      </w:r>
      <w:r w:rsidR="00FF1010">
        <w:rPr>
          <w:noProof/>
        </w:rPr>
        <w:t xml:space="preserve">. </w:t>
      </w:r>
      <w:r w:rsidR="00325471" w:rsidRPr="00CC46B2">
        <w:rPr>
          <w:rFonts w:eastAsiaTheme="minorEastAsia"/>
          <w:szCs w:val="20"/>
        </w:rPr>
        <w:t>As</w:t>
      </w:r>
      <w:r w:rsidR="00325471">
        <w:rPr>
          <w:rFonts w:eastAsiaTheme="minorEastAsia"/>
          <w:szCs w:val="20"/>
        </w:rPr>
        <w:t xml:space="preserve"> agreed in Rel-17 XR SI</w:t>
      </w:r>
      <w:r w:rsidR="00325471" w:rsidRPr="00CC46B2">
        <w:rPr>
          <w:rFonts w:eastAsiaTheme="minorEastAsia"/>
          <w:szCs w:val="20"/>
        </w:rPr>
        <w:t xml:space="preserve">, </w:t>
      </w:r>
      <w:r w:rsidR="00325471">
        <w:rPr>
          <w:rFonts w:eastAsiaTheme="minorEastAsia"/>
          <w:szCs w:val="20"/>
        </w:rPr>
        <w:t xml:space="preserve">the packet arrival rates of XR are {30, 60, 90, 120} fps, so the corresponding </w:t>
      </w:r>
      <w:r w:rsidR="00325471" w:rsidRPr="00CC46B2">
        <w:rPr>
          <w:rFonts w:eastAsiaTheme="minorEastAsia"/>
          <w:szCs w:val="20"/>
        </w:rPr>
        <w:t>traffic periodicities are {33.33, 16.67, 11.11, 8.33}</w:t>
      </w:r>
      <w:r w:rsidR="00325471">
        <w:rPr>
          <w:rFonts w:eastAsiaTheme="minorEastAsia"/>
          <w:szCs w:val="20"/>
        </w:rPr>
        <w:t xml:space="preserve"> </w:t>
      </w:r>
      <w:proofErr w:type="spellStart"/>
      <w:r w:rsidR="00325471">
        <w:rPr>
          <w:rFonts w:eastAsiaTheme="minorEastAsia"/>
          <w:szCs w:val="20"/>
        </w:rPr>
        <w:t>ms</w:t>
      </w:r>
      <w:proofErr w:type="spellEnd"/>
      <w:r w:rsidR="00325471" w:rsidRPr="00CC46B2">
        <w:rPr>
          <w:rFonts w:eastAsiaTheme="minorEastAsia"/>
          <w:szCs w:val="20"/>
        </w:rPr>
        <w:t xml:space="preserve">. </w:t>
      </w:r>
      <w:r w:rsidR="00325471">
        <w:rPr>
          <w:rFonts w:eastAsiaTheme="minorEastAsia"/>
          <w:szCs w:val="20"/>
        </w:rPr>
        <w:t xml:space="preserve">According to the previous RAN1 agreement, </w:t>
      </w:r>
      <w:r w:rsidR="00325471" w:rsidRPr="00CC46B2">
        <w:t>60</w:t>
      </w:r>
      <w:r w:rsidR="00325471">
        <w:t xml:space="preserve"> fps </w:t>
      </w:r>
      <w:r w:rsidR="00325471" w:rsidRPr="00CC46B2">
        <w:t xml:space="preserve">is </w:t>
      </w:r>
      <w:r w:rsidR="00325471">
        <w:t xml:space="preserve">a </w:t>
      </w:r>
      <w:r w:rsidR="00325471" w:rsidRPr="00CC46B2">
        <w:t xml:space="preserve">baseline for </w:t>
      </w:r>
      <w:r w:rsidR="00154202">
        <w:t xml:space="preserve">the </w:t>
      </w:r>
      <w:r w:rsidR="00325471" w:rsidRPr="00CC46B2">
        <w:t>UL video stream</w:t>
      </w:r>
      <w:r w:rsidR="00325471">
        <w:t>.</w:t>
      </w:r>
      <w:r w:rsidR="00325471">
        <w:rPr>
          <w:rFonts w:eastAsiaTheme="minorEastAsia"/>
          <w:szCs w:val="20"/>
        </w:rPr>
        <w:t xml:space="preserve"> While, in legacy, </w:t>
      </w:r>
      <w:r w:rsidR="00325471">
        <w:rPr>
          <w:rFonts w:eastAsiaTheme="minorEastAsia" w:hint="eastAsia"/>
          <w:szCs w:val="20"/>
        </w:rPr>
        <w:t>t</w:t>
      </w:r>
      <w:r w:rsidR="00325471">
        <w:rPr>
          <w:rFonts w:eastAsiaTheme="minorEastAsia"/>
          <w:szCs w:val="20"/>
        </w:rPr>
        <w:t xml:space="preserve">he CG periodicity configured is in the unit of </w:t>
      </w:r>
      <w:r w:rsidR="007570AF">
        <w:rPr>
          <w:rFonts w:eastAsiaTheme="minorEastAsia"/>
          <w:szCs w:val="20"/>
        </w:rPr>
        <w:t xml:space="preserve">a </w:t>
      </w:r>
      <w:r w:rsidR="00325471">
        <w:rPr>
          <w:rFonts w:eastAsiaTheme="minorEastAsia"/>
          <w:szCs w:val="20"/>
        </w:rPr>
        <w:t>symbol.</w:t>
      </w:r>
      <w:r w:rsidR="00325471" w:rsidRPr="00530B91">
        <w:rPr>
          <w:rFonts w:eastAsiaTheme="minorEastAsia"/>
          <w:szCs w:val="20"/>
        </w:rPr>
        <w:t xml:space="preserve"> </w:t>
      </w:r>
      <w:r w:rsidR="00325471" w:rsidRPr="00CC46B2">
        <w:rPr>
          <w:rFonts w:eastAsiaTheme="minorEastAsia"/>
          <w:szCs w:val="20"/>
        </w:rPr>
        <w:t>For convenience,</w:t>
      </w:r>
      <w:r w:rsidR="00325471">
        <w:rPr>
          <w:rFonts w:eastAsiaTheme="minorEastAsia"/>
          <w:szCs w:val="20"/>
        </w:rPr>
        <w:t xml:space="preserve"> the values supported for CG configuration are listed below,</w:t>
      </w:r>
    </w:p>
    <w:p w14:paraId="446B3FBA" w14:textId="77777777" w:rsidR="00325471" w:rsidRDefault="00325471" w:rsidP="00885F32">
      <w:pPr>
        <w:rPr>
          <w:rFonts w:eastAsiaTheme="minorEastAsia"/>
          <w:szCs w:val="20"/>
        </w:rPr>
      </w:pPr>
      <w:r>
        <w:rPr>
          <w:noProof/>
        </w:rPr>
        <w:drawing>
          <wp:inline distT="0" distB="0" distL="0" distR="0" wp14:anchorId="47DB7D41" wp14:editId="4A60F058">
            <wp:extent cx="5594350" cy="63309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94350" cy="633095"/>
                    </a:xfrm>
                    <a:prstGeom prst="rect">
                      <a:avLst/>
                    </a:prstGeom>
                  </pic:spPr>
                </pic:pic>
              </a:graphicData>
            </a:graphic>
          </wp:inline>
        </w:drawing>
      </w:r>
    </w:p>
    <w:p w14:paraId="6178A074" w14:textId="77777777" w:rsidR="00325471" w:rsidRDefault="00325471" w:rsidP="00885F32">
      <w:pPr>
        <w:rPr>
          <w:rFonts w:eastAsiaTheme="minorEastAsia"/>
          <w:szCs w:val="20"/>
        </w:rPr>
      </w:pPr>
      <w:r>
        <w:rPr>
          <w:noProof/>
        </w:rPr>
        <w:drawing>
          <wp:inline distT="0" distB="0" distL="0" distR="0" wp14:anchorId="03F12F9F" wp14:editId="56BC9D75">
            <wp:extent cx="5564334" cy="889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3871" cy="95124"/>
                    </a:xfrm>
                    <a:prstGeom prst="rect">
                      <a:avLst/>
                    </a:prstGeom>
                  </pic:spPr>
                </pic:pic>
              </a:graphicData>
            </a:graphic>
          </wp:inline>
        </w:drawing>
      </w:r>
    </w:p>
    <w:p w14:paraId="6BB072D5" w14:textId="77777777" w:rsidR="00325471" w:rsidRDefault="00325471" w:rsidP="00885F32">
      <w:pPr>
        <w:rPr>
          <w:rFonts w:eastAsiaTheme="minorEastAsia"/>
          <w:szCs w:val="20"/>
        </w:rPr>
      </w:pPr>
      <w:r>
        <w:rPr>
          <w:noProof/>
        </w:rPr>
        <w:drawing>
          <wp:inline distT="0" distB="0" distL="0" distR="0" wp14:anchorId="1CF18246" wp14:editId="781F7910">
            <wp:extent cx="5638800" cy="182816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8800" cy="1828165"/>
                    </a:xfrm>
                    <a:prstGeom prst="rect">
                      <a:avLst/>
                    </a:prstGeom>
                  </pic:spPr>
                </pic:pic>
              </a:graphicData>
            </a:graphic>
          </wp:inline>
        </w:drawing>
      </w:r>
    </w:p>
    <w:p w14:paraId="6B323669" w14:textId="356C4BD2" w:rsidR="00325471" w:rsidRDefault="00325471" w:rsidP="00885F32">
      <w:pPr>
        <w:rPr>
          <w:rFonts w:eastAsiaTheme="minorEastAsia"/>
          <w:szCs w:val="20"/>
        </w:rPr>
      </w:pPr>
      <w:r>
        <w:rPr>
          <w:rFonts w:eastAsiaTheme="minorEastAsia" w:hint="eastAsia"/>
          <w:szCs w:val="20"/>
        </w:rPr>
        <w:t>i</w:t>
      </w:r>
      <w:r>
        <w:rPr>
          <w:rFonts w:eastAsiaTheme="minorEastAsia"/>
          <w:szCs w:val="20"/>
        </w:rPr>
        <w:t xml:space="preserve">.e. </w:t>
      </w:r>
      <w:r w:rsidR="00B711DA">
        <w:rPr>
          <w:rFonts w:eastAsiaTheme="minorEastAsia"/>
          <w:szCs w:val="20"/>
        </w:rPr>
        <w:t>The supported CG periodicities</w:t>
      </w:r>
      <w:r>
        <w:rPr>
          <w:rFonts w:eastAsiaTheme="minorEastAsia"/>
          <w:szCs w:val="20"/>
        </w:rPr>
        <w:t xml:space="preserve"> are </w:t>
      </w:r>
      <w:r w:rsidRPr="00CC46B2">
        <w:rPr>
          <w:lang w:eastAsia="sv-SE"/>
        </w:rPr>
        <w:t>{1/7ms, 0.5ms ,1</w:t>
      </w:r>
      <w:proofErr w:type="gramStart"/>
      <w:r w:rsidRPr="00CC46B2">
        <w:rPr>
          <w:lang w:eastAsia="sv-SE"/>
        </w:rPr>
        <w:t>ms,…</w:t>
      </w:r>
      <w:proofErr w:type="gramEnd"/>
      <w:r w:rsidRPr="00CC46B2">
        <w:rPr>
          <w:rFonts w:eastAsiaTheme="minorEastAsia"/>
        </w:rPr>
        <w:t>,</w:t>
      </w:r>
      <w:r w:rsidRPr="00CC46B2">
        <w:rPr>
          <w:lang w:eastAsia="sv-SE"/>
        </w:rPr>
        <w:t xml:space="preserve"> 320ms, 640ms} for 15kHz, 0.5x {1/7ms,0.5ms, 1ms,…,1280ms} for 30kHz, 0.25x {1/7ms,0.5ms, 1ms, …,2560ms} for 60kHz</w:t>
      </w:r>
      <w:r>
        <w:rPr>
          <w:lang w:eastAsia="sv-SE"/>
        </w:rPr>
        <w:t>, etc.</w:t>
      </w:r>
    </w:p>
    <w:p w14:paraId="005E3CAE" w14:textId="21C3D70B" w:rsidR="00325471" w:rsidRDefault="001D7250" w:rsidP="00325471">
      <w:pPr>
        <w:rPr>
          <w:lang w:eastAsia="sv-SE"/>
        </w:rPr>
      </w:pPr>
      <w:r>
        <w:rPr>
          <w:rFonts w:eastAsiaTheme="minorEastAsia"/>
          <w:szCs w:val="20"/>
        </w:rPr>
        <w:t>Clearly,</w:t>
      </w:r>
      <w:r w:rsidR="00325471">
        <w:rPr>
          <w:rFonts w:eastAsiaTheme="minorEastAsia"/>
          <w:szCs w:val="20"/>
        </w:rPr>
        <w:t xml:space="preserve"> </w:t>
      </w:r>
      <w:r w:rsidR="00325471" w:rsidRPr="00CC46B2">
        <w:rPr>
          <w:lang w:eastAsia="sv-SE"/>
        </w:rPr>
        <w:t xml:space="preserve">the periodicity of XR </w:t>
      </w:r>
      <w:r w:rsidR="00325471">
        <w:rPr>
          <w:lang w:eastAsia="sv-SE"/>
        </w:rPr>
        <w:t xml:space="preserve">service </w:t>
      </w:r>
      <w:r w:rsidR="00325471" w:rsidRPr="00CC46B2">
        <w:rPr>
          <w:lang w:eastAsia="sv-SE"/>
        </w:rPr>
        <w:t xml:space="preserve">and </w:t>
      </w:r>
      <w:r w:rsidR="00076488">
        <w:rPr>
          <w:lang w:eastAsia="sv-SE"/>
        </w:rPr>
        <w:t xml:space="preserve">the </w:t>
      </w:r>
      <w:r w:rsidR="00325471" w:rsidRPr="00CC46B2">
        <w:rPr>
          <w:lang w:eastAsia="sv-SE"/>
        </w:rPr>
        <w:t>periodicity of CG</w:t>
      </w:r>
      <w:r w:rsidR="00325471">
        <w:rPr>
          <w:lang w:eastAsia="sv-SE"/>
        </w:rPr>
        <w:t xml:space="preserve"> </w:t>
      </w:r>
      <w:r w:rsidR="00325471" w:rsidRPr="00CC46B2">
        <w:rPr>
          <w:lang w:eastAsia="sv-SE"/>
        </w:rPr>
        <w:t xml:space="preserve">are not </w:t>
      </w:r>
      <w:r w:rsidR="00325471">
        <w:rPr>
          <w:lang w:eastAsia="sv-SE"/>
        </w:rPr>
        <w:t xml:space="preserve">well </w:t>
      </w:r>
      <w:r w:rsidR="00325471" w:rsidRPr="00CC46B2">
        <w:rPr>
          <w:lang w:eastAsia="sv-SE"/>
        </w:rPr>
        <w:t>matched</w:t>
      </w:r>
      <w:r w:rsidR="00325471">
        <w:rPr>
          <w:lang w:eastAsia="sv-SE"/>
        </w:rPr>
        <w:t>.</w:t>
      </w:r>
    </w:p>
    <w:p w14:paraId="3A4A8D4B" w14:textId="166210E5" w:rsidR="00325471" w:rsidRDefault="00325471" w:rsidP="00325471">
      <w:pPr>
        <w:rPr>
          <w:rFonts w:eastAsiaTheme="minorEastAsia"/>
          <w:szCs w:val="20"/>
        </w:rPr>
      </w:pPr>
      <w:r>
        <w:rPr>
          <w:rFonts w:eastAsiaTheme="minorEastAsia" w:hint="eastAsia"/>
          <w:szCs w:val="20"/>
        </w:rPr>
        <w:t>O</w:t>
      </w:r>
      <w:r>
        <w:rPr>
          <w:rFonts w:eastAsiaTheme="minorEastAsia"/>
          <w:szCs w:val="20"/>
        </w:rPr>
        <w:t>ne straightforward way is to introduce non-integer number</w:t>
      </w:r>
      <w:r w:rsidR="00F02F70">
        <w:rPr>
          <w:rFonts w:eastAsiaTheme="minorEastAsia"/>
          <w:szCs w:val="20"/>
        </w:rPr>
        <w:t>(s) in</w:t>
      </w:r>
      <w:r>
        <w:rPr>
          <w:rFonts w:eastAsiaTheme="minorEastAsia"/>
          <w:szCs w:val="20"/>
        </w:rPr>
        <w:t xml:space="preserve"> the periodicity of CG. The UE needs to calculate/derivate the PUSCH occasion</w:t>
      </w:r>
      <w:r w:rsidR="00F02F70">
        <w:rPr>
          <w:rFonts w:eastAsiaTheme="minorEastAsia"/>
          <w:szCs w:val="20"/>
        </w:rPr>
        <w:t>(s)</w:t>
      </w:r>
      <w:r>
        <w:rPr>
          <w:rFonts w:eastAsiaTheme="minorEastAsia"/>
          <w:szCs w:val="20"/>
        </w:rPr>
        <w:t xml:space="preserve"> based on the non-integer value by using the enhanced CG occasion calculation formula, i.e. the current CG occasion formula with ceiling operation. Figure 1 shows an example of the calculated CG PUSCH occasion</w:t>
      </w:r>
      <w:r w:rsidR="00150A64">
        <w:rPr>
          <w:rFonts w:eastAsiaTheme="minorEastAsia"/>
          <w:szCs w:val="20"/>
        </w:rPr>
        <w:t>s</w:t>
      </w:r>
      <w:r>
        <w:rPr>
          <w:rFonts w:eastAsiaTheme="minorEastAsia"/>
          <w:szCs w:val="20"/>
        </w:rPr>
        <w:t xml:space="preserve">. </w:t>
      </w:r>
    </w:p>
    <w:p w14:paraId="591B44EC" w14:textId="0EA44823" w:rsidR="00325471" w:rsidRDefault="00774B06" w:rsidP="00325471">
      <w:pPr>
        <w:rPr>
          <w:rFonts w:eastAsiaTheme="minorEastAsia"/>
          <w:szCs w:val="20"/>
        </w:rPr>
      </w:pPr>
      <w:r w:rsidRPr="00CC46B2">
        <w:object w:dxaOrig="9691" w:dyaOrig="2131" w14:anchorId="5B217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01pt" o:ole="">
            <v:imagedata r:id="rId11" o:title=""/>
          </v:shape>
          <o:OLEObject Type="Embed" ProgID="Visio.Drawing.15" ShapeID="_x0000_i1025" DrawAspect="Content" ObjectID="_1729079428" r:id="rId12"/>
        </w:object>
      </w:r>
    </w:p>
    <w:p w14:paraId="062FEF53" w14:textId="5E651882" w:rsidR="00325471" w:rsidRDefault="00325471" w:rsidP="00325471">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Example of </w:t>
      </w:r>
      <w:r w:rsidR="00774B06">
        <w:t xml:space="preserve">CG PUSCH </w:t>
      </w:r>
      <w:r>
        <w:t>occasion</w:t>
      </w:r>
      <w:r w:rsidR="00150A64">
        <w:t>s</w:t>
      </w:r>
      <w:r>
        <w:t xml:space="preserve"> calculated for </w:t>
      </w:r>
      <w:r w:rsidR="00775EB6">
        <w:t xml:space="preserve">a </w:t>
      </w:r>
      <w:r w:rsidR="001C591F">
        <w:t>60fps</w:t>
      </w:r>
      <w:r>
        <w:t xml:space="preserve"> period </w:t>
      </w:r>
    </w:p>
    <w:p w14:paraId="77FCF19B" w14:textId="05149CEE" w:rsidR="00325471" w:rsidRDefault="00325471" w:rsidP="00325471">
      <w:pPr>
        <w:pStyle w:val="afa"/>
        <w:spacing w:line="264" w:lineRule="auto"/>
        <w:rPr>
          <w:rFonts w:eastAsiaTheme="minorEastAsia"/>
        </w:rPr>
      </w:pPr>
      <w:r>
        <w:rPr>
          <w:rFonts w:eastAsiaTheme="minorEastAsia"/>
        </w:rPr>
        <w:t xml:space="preserve">Based on Figure 1, another option is to configure a </w:t>
      </w:r>
      <w:r w:rsidR="00460E76">
        <w:rPr>
          <w:rFonts w:eastAsiaTheme="minorEastAsia"/>
        </w:rPr>
        <w:t xml:space="preserve">periodic </w:t>
      </w:r>
      <w:r>
        <w:rPr>
          <w:rFonts w:eastAsiaTheme="minorEastAsia"/>
        </w:rPr>
        <w:t xml:space="preserve">CG pattern. Each CG pattern has multiple CG-PUSCH occasions. How to configure the periodicity of such a pattern and the intervals of multiple occasions in each pattern can rely on the arrival time/periodicity of </w:t>
      </w:r>
      <w:r w:rsidR="008C157B">
        <w:rPr>
          <w:rFonts w:eastAsiaTheme="minorEastAsia"/>
        </w:rPr>
        <w:t xml:space="preserve">the </w:t>
      </w:r>
      <w:r>
        <w:rPr>
          <w:rFonts w:eastAsiaTheme="minorEastAsia"/>
        </w:rPr>
        <w:t xml:space="preserve">XR service. Let us take 60fps for </w:t>
      </w:r>
      <w:r w:rsidR="00774B06">
        <w:rPr>
          <w:rFonts w:eastAsiaTheme="minorEastAsia"/>
        </w:rPr>
        <w:t xml:space="preserve">UL </w:t>
      </w:r>
      <w:r>
        <w:rPr>
          <w:rFonts w:eastAsiaTheme="minorEastAsia"/>
        </w:rPr>
        <w:t xml:space="preserve">video as an example, the periodicity of the </w:t>
      </w:r>
      <w:r w:rsidR="00774B06">
        <w:rPr>
          <w:rFonts w:eastAsiaTheme="minorEastAsia"/>
        </w:rPr>
        <w:t xml:space="preserve">CG </w:t>
      </w:r>
      <w:r>
        <w:rPr>
          <w:rFonts w:eastAsiaTheme="minorEastAsia"/>
        </w:rPr>
        <w:t xml:space="preserve">pattern is 50ms. In each </w:t>
      </w:r>
      <w:r w:rsidR="00774B06">
        <w:rPr>
          <w:rFonts w:eastAsiaTheme="minorEastAsia"/>
        </w:rPr>
        <w:t xml:space="preserve">CG </w:t>
      </w:r>
      <w:r>
        <w:rPr>
          <w:rFonts w:eastAsiaTheme="minorEastAsia"/>
        </w:rPr>
        <w:t xml:space="preserve">pattern, three </w:t>
      </w:r>
      <w:r w:rsidR="00774B06">
        <w:rPr>
          <w:rFonts w:eastAsiaTheme="minorEastAsia"/>
        </w:rPr>
        <w:t>CG-PU</w:t>
      </w:r>
      <w:r>
        <w:rPr>
          <w:rFonts w:eastAsiaTheme="minorEastAsia"/>
        </w:rPr>
        <w:t xml:space="preserve">SCH occasions can be configured and the occasion interval is 17ms between a certain one and the nearest previous one (except the interval between the last two </w:t>
      </w:r>
      <w:r w:rsidR="00774B06">
        <w:rPr>
          <w:rFonts w:eastAsiaTheme="minorEastAsia"/>
        </w:rPr>
        <w:t>CG-PU</w:t>
      </w:r>
      <w:r>
        <w:rPr>
          <w:rFonts w:eastAsiaTheme="minorEastAsia"/>
        </w:rPr>
        <w:t>SCH occasions).</w:t>
      </w:r>
    </w:p>
    <w:p w14:paraId="3DCDB8D3" w14:textId="02D50EA9" w:rsidR="00325471" w:rsidRDefault="00325471" w:rsidP="00325471">
      <w:pPr>
        <w:pStyle w:val="afa"/>
        <w:spacing w:line="264" w:lineRule="auto"/>
        <w:rPr>
          <w:rFonts w:eastAsiaTheme="minorEastAsia"/>
        </w:rPr>
      </w:pPr>
      <w:r>
        <w:rPr>
          <w:rFonts w:eastAsiaTheme="minorEastAsia"/>
        </w:rPr>
        <w:t xml:space="preserve">The third option is to use a DCI to change the start offset of the CG configuration dynamically for the alleviation of the periodicity misalignment. </w:t>
      </w:r>
      <w:r w:rsidR="00D54071">
        <w:rPr>
          <w:rFonts w:eastAsiaTheme="minorEastAsia"/>
        </w:rPr>
        <w:t>T</w:t>
      </w:r>
      <w:r w:rsidR="00BC28C8">
        <w:rPr>
          <w:rFonts w:eastAsiaTheme="minorEastAsia"/>
        </w:rPr>
        <w:t xml:space="preserve">his solution </w:t>
      </w:r>
      <w:r w:rsidR="00D54071">
        <w:rPr>
          <w:rFonts w:eastAsiaTheme="minorEastAsia"/>
        </w:rPr>
        <w:t>has a clear drawback, i.e. it r</w:t>
      </w:r>
      <w:r w:rsidR="00BC28C8">
        <w:rPr>
          <w:rFonts w:eastAsiaTheme="minorEastAsia"/>
        </w:rPr>
        <w:t>equire</w:t>
      </w:r>
      <w:r w:rsidR="00D54071">
        <w:rPr>
          <w:rFonts w:eastAsiaTheme="minorEastAsia"/>
        </w:rPr>
        <w:t>s frequent</w:t>
      </w:r>
      <w:r w:rsidR="00BC28C8">
        <w:rPr>
          <w:rFonts w:eastAsiaTheme="minorEastAsia"/>
        </w:rPr>
        <w:t xml:space="preserve"> </w:t>
      </w:r>
      <w:r w:rsidR="00045031">
        <w:rPr>
          <w:rFonts w:eastAsiaTheme="minorEastAsia"/>
        </w:rPr>
        <w:t xml:space="preserve">indication and </w:t>
      </w:r>
      <w:r w:rsidR="00D54071">
        <w:rPr>
          <w:rFonts w:eastAsiaTheme="minorEastAsia"/>
        </w:rPr>
        <w:t xml:space="preserve">adjustment. </w:t>
      </w:r>
    </w:p>
    <w:p w14:paraId="183857B0" w14:textId="77777777" w:rsidR="00325471" w:rsidRPr="00D075F5" w:rsidRDefault="00325471" w:rsidP="00325471">
      <w:pPr>
        <w:pStyle w:val="Proposal"/>
      </w:pPr>
      <w:bookmarkStart w:id="13" w:name="_Toc110343551"/>
      <w:bookmarkStart w:id="14" w:name="_Toc118466561"/>
      <w:r>
        <w:t xml:space="preserve">RAN2 considers the following solutions to resolve the </w:t>
      </w:r>
      <w:r w:rsidRPr="00D075F5">
        <w:t>periodicity mismatch issue:</w:t>
      </w:r>
      <w:bookmarkEnd w:id="13"/>
      <w:bookmarkEnd w:id="14"/>
    </w:p>
    <w:p w14:paraId="4488B708" w14:textId="14D3996E" w:rsidR="00325471" w:rsidRPr="00D075F5" w:rsidRDefault="00325471" w:rsidP="00325471">
      <w:pPr>
        <w:pStyle w:val="Proposal"/>
        <w:numPr>
          <w:ilvl w:val="0"/>
          <w:numId w:val="33"/>
        </w:numPr>
      </w:pPr>
      <w:bookmarkStart w:id="15" w:name="_Toc110343552"/>
      <w:bookmarkStart w:id="16" w:name="_Toc118466562"/>
      <w:r>
        <w:lastRenderedPageBreak/>
        <w:t xml:space="preserve">Alt1: Introduce non-integer number for CG periodicity and add ceiling operation in </w:t>
      </w:r>
      <w:r>
        <w:rPr>
          <w:rFonts w:eastAsiaTheme="minorEastAsia"/>
          <w:szCs w:val="20"/>
        </w:rPr>
        <w:t>CG occasion calculation formula</w:t>
      </w:r>
      <w:r>
        <w:t>.</w:t>
      </w:r>
      <w:bookmarkEnd w:id="15"/>
      <w:bookmarkEnd w:id="16"/>
    </w:p>
    <w:p w14:paraId="4BE27B4F" w14:textId="4FC9C633" w:rsidR="00325471" w:rsidRDefault="00325471" w:rsidP="00325471">
      <w:pPr>
        <w:pStyle w:val="Proposal"/>
        <w:numPr>
          <w:ilvl w:val="0"/>
          <w:numId w:val="33"/>
        </w:numPr>
      </w:pPr>
      <w:bookmarkStart w:id="17" w:name="_Toc110343553"/>
      <w:bookmarkStart w:id="18" w:name="_Toc118466563"/>
      <w:r>
        <w:t>Alt2: Introduce the periodic CG pattern in which multiple non-consecutive PUSCH occasions can be configured.</w:t>
      </w:r>
      <w:bookmarkEnd w:id="18"/>
      <w:r>
        <w:t xml:space="preserve"> </w:t>
      </w:r>
      <w:bookmarkEnd w:id="17"/>
    </w:p>
    <w:p w14:paraId="307E6ED9" w14:textId="5BA0B822" w:rsidR="00325471" w:rsidRPr="00CC46B2" w:rsidRDefault="00325471" w:rsidP="005B57AD">
      <w:pPr>
        <w:pStyle w:val="Proposal"/>
        <w:numPr>
          <w:ilvl w:val="0"/>
          <w:numId w:val="0"/>
        </w:numPr>
        <w:ind w:left="1701" w:hanging="1701"/>
      </w:pPr>
    </w:p>
    <w:p w14:paraId="2E58CC51" w14:textId="77777777" w:rsidR="00FB3C9D" w:rsidRDefault="003D1DDD">
      <w:pPr>
        <w:pStyle w:val="1"/>
      </w:pPr>
      <w:r>
        <w:t>Conclusion</w:t>
      </w:r>
    </w:p>
    <w:p w14:paraId="1FA2FB39" w14:textId="77777777" w:rsidR="00FB3C9D" w:rsidRDefault="003D1DDD">
      <w:r>
        <w:t>We have the following observations:</w:t>
      </w:r>
    </w:p>
    <w:p w14:paraId="06E4A559" w14:textId="25E88ADF" w:rsidR="00522F9F"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8466564" w:history="1">
        <w:r w:rsidR="00522F9F" w:rsidRPr="00F43E22">
          <w:rPr>
            <w:rStyle w:val="af3"/>
            <w:noProof/>
          </w:rPr>
          <w:t>Observation 1</w:t>
        </w:r>
        <w:r w:rsidR="00522F9F">
          <w:rPr>
            <w:rFonts w:asciiTheme="minorHAnsi" w:eastAsiaTheme="minorEastAsia" w:hAnsiTheme="minorHAnsi" w:cstheme="minorBidi"/>
            <w:b w:val="0"/>
            <w:noProof/>
            <w:kern w:val="2"/>
            <w:sz w:val="21"/>
          </w:rPr>
          <w:tab/>
        </w:r>
        <w:r w:rsidR="00522F9F" w:rsidRPr="00F43E22">
          <w:rPr>
            <w:rStyle w:val="af3"/>
            <w:noProof/>
          </w:rPr>
          <w:t>TSCAI is designed to provide the gNB with the TSC characteristics which contain direction, periodicity and burst arrival time.</w:t>
        </w:r>
      </w:hyperlink>
    </w:p>
    <w:p w14:paraId="4C0F1343" w14:textId="06730DCA" w:rsidR="00FB3C9D" w:rsidRDefault="003D1DDD">
      <w:pPr>
        <w:rPr>
          <w:rFonts w:ascii="等线" w:eastAsia="等线" w:hAnsi="等线" w:cs="等线"/>
          <w:sz w:val="22"/>
        </w:rPr>
      </w:pPr>
      <w:r>
        <w:fldChar w:fldCharType="end"/>
      </w:r>
      <w:bookmarkStart w:id="19" w:name="_GoBack"/>
      <w:bookmarkEnd w:id="19"/>
    </w:p>
    <w:p w14:paraId="7962C03C" w14:textId="77777777" w:rsidR="00FB3C9D" w:rsidRDefault="003D1DDD">
      <w:r>
        <w:t>We have the following proposals:</w:t>
      </w:r>
    </w:p>
    <w:p w14:paraId="4B367275" w14:textId="1C91199C" w:rsidR="00522F9F"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8466555" w:history="1">
        <w:r w:rsidR="00522F9F" w:rsidRPr="00A22634">
          <w:rPr>
            <w:rStyle w:val="af3"/>
            <w:noProof/>
          </w:rPr>
          <w:t>Proposal 1</w:t>
        </w:r>
        <w:r w:rsidR="00522F9F">
          <w:rPr>
            <w:rFonts w:asciiTheme="minorHAnsi" w:eastAsiaTheme="minorEastAsia" w:hAnsiTheme="minorHAnsi" w:cstheme="minorBidi"/>
            <w:b w:val="0"/>
            <w:noProof/>
            <w:kern w:val="2"/>
            <w:sz w:val="21"/>
          </w:rPr>
          <w:tab/>
        </w:r>
        <w:r w:rsidR="00522F9F" w:rsidRPr="00A22634">
          <w:rPr>
            <w:rStyle w:val="af3"/>
            <w:noProof/>
          </w:rPr>
          <w:t>RAN2 assumes to use TSCAI-like method to inform the gNB with the XR characteristics which contain direction, burst periodicity and burst arrival time.</w:t>
        </w:r>
      </w:hyperlink>
    </w:p>
    <w:p w14:paraId="02D1DAA9" w14:textId="09B7C3C0" w:rsidR="00522F9F" w:rsidRDefault="00522F9F">
      <w:pPr>
        <w:pStyle w:val="TOC1"/>
        <w:rPr>
          <w:rFonts w:asciiTheme="minorHAnsi" w:eastAsiaTheme="minorEastAsia" w:hAnsiTheme="minorHAnsi" w:cstheme="minorBidi"/>
          <w:b w:val="0"/>
          <w:noProof/>
          <w:kern w:val="2"/>
          <w:sz w:val="21"/>
        </w:rPr>
      </w:pPr>
      <w:hyperlink w:anchor="_Toc118466556" w:history="1">
        <w:r w:rsidRPr="00A22634">
          <w:rPr>
            <w:rStyle w:val="af3"/>
            <w:noProof/>
          </w:rPr>
          <w:t>Proposal 2</w:t>
        </w:r>
        <w:r>
          <w:rPr>
            <w:rFonts w:asciiTheme="minorHAnsi" w:eastAsiaTheme="minorEastAsia" w:hAnsiTheme="minorHAnsi" w:cstheme="minorBidi"/>
            <w:b w:val="0"/>
            <w:noProof/>
            <w:kern w:val="2"/>
            <w:sz w:val="21"/>
          </w:rPr>
          <w:tab/>
        </w:r>
        <w:r w:rsidRPr="00A22634">
          <w:rPr>
            <w:rStyle w:val="af3"/>
            <w:noProof/>
          </w:rPr>
          <w:t>RAN2 considers the UE to report the maximum or minimum burst size information to the gNB if such information can not be obtained by the gNB from the SMF.</w:t>
        </w:r>
      </w:hyperlink>
    </w:p>
    <w:p w14:paraId="47BE24F0" w14:textId="6D1EB2ED" w:rsidR="00522F9F" w:rsidRDefault="00522F9F">
      <w:pPr>
        <w:pStyle w:val="TOC1"/>
        <w:rPr>
          <w:rFonts w:asciiTheme="minorHAnsi" w:eastAsiaTheme="minorEastAsia" w:hAnsiTheme="minorHAnsi" w:cstheme="minorBidi"/>
          <w:b w:val="0"/>
          <w:noProof/>
          <w:kern w:val="2"/>
          <w:sz w:val="21"/>
        </w:rPr>
      </w:pPr>
      <w:hyperlink w:anchor="_Toc118466557" w:history="1">
        <w:r w:rsidRPr="00A22634">
          <w:rPr>
            <w:rStyle w:val="af3"/>
            <w:noProof/>
          </w:rPr>
          <w:t>Proposal 3</w:t>
        </w:r>
        <w:r>
          <w:rPr>
            <w:rFonts w:asciiTheme="minorHAnsi" w:eastAsiaTheme="minorEastAsia" w:hAnsiTheme="minorHAnsi" w:cstheme="minorBidi"/>
            <w:b w:val="0"/>
            <w:noProof/>
            <w:kern w:val="2"/>
            <w:sz w:val="21"/>
          </w:rPr>
          <w:tab/>
        </w:r>
        <w:r w:rsidRPr="00A22634">
          <w:rPr>
            <w:rStyle w:val="af3"/>
            <w:noProof/>
          </w:rPr>
          <w:t>A LS to SA2 to confirm the feasibility of the maximum or minimum burst size information provision to the gNB from the core network for the XR service.</w:t>
        </w:r>
      </w:hyperlink>
    </w:p>
    <w:p w14:paraId="649BF716" w14:textId="51502EB0" w:rsidR="00522F9F" w:rsidRDefault="00522F9F">
      <w:pPr>
        <w:pStyle w:val="TOC1"/>
        <w:rPr>
          <w:rFonts w:asciiTheme="minorHAnsi" w:eastAsiaTheme="minorEastAsia" w:hAnsiTheme="minorHAnsi" w:cstheme="minorBidi"/>
          <w:b w:val="0"/>
          <w:noProof/>
          <w:kern w:val="2"/>
          <w:sz w:val="21"/>
        </w:rPr>
      </w:pPr>
      <w:hyperlink w:anchor="_Toc118466558" w:history="1">
        <w:r w:rsidRPr="00A22634">
          <w:rPr>
            <w:rStyle w:val="af3"/>
            <w:noProof/>
          </w:rPr>
          <w:t>Proposal 4</w:t>
        </w:r>
        <w:r>
          <w:rPr>
            <w:rFonts w:asciiTheme="minorHAnsi" w:eastAsiaTheme="minorEastAsia" w:hAnsiTheme="minorHAnsi" w:cstheme="minorBidi"/>
            <w:b w:val="0"/>
            <w:noProof/>
            <w:kern w:val="2"/>
            <w:sz w:val="21"/>
          </w:rPr>
          <w:tab/>
        </w:r>
        <w:r w:rsidRPr="00A22634">
          <w:rPr>
            <w:rStyle w:val="af3"/>
            <w:noProof/>
          </w:rPr>
          <w:t xml:space="preserve">RAN2 waits for RAN1’s progress on </w:t>
        </w:r>
        <w:r w:rsidRPr="00A22634">
          <w:rPr>
            <w:rStyle w:val="af3"/>
            <w:noProof/>
            <w:lang w:val="en-US"/>
          </w:rPr>
          <w:t>resource usage adaptation</w:t>
        </w:r>
        <w:r w:rsidRPr="00A22634">
          <w:rPr>
            <w:rStyle w:val="af3"/>
            <w:noProof/>
          </w:rPr>
          <w:t xml:space="preserve"> for the system capacity improvement.</w:t>
        </w:r>
      </w:hyperlink>
    </w:p>
    <w:p w14:paraId="4E62E70D" w14:textId="28208794" w:rsidR="00522F9F" w:rsidRDefault="00522F9F">
      <w:pPr>
        <w:pStyle w:val="TOC1"/>
        <w:rPr>
          <w:rFonts w:asciiTheme="minorHAnsi" w:eastAsiaTheme="minorEastAsia" w:hAnsiTheme="minorHAnsi" w:cstheme="minorBidi"/>
          <w:b w:val="0"/>
          <w:noProof/>
          <w:kern w:val="2"/>
          <w:sz w:val="21"/>
        </w:rPr>
      </w:pPr>
      <w:hyperlink w:anchor="_Toc118466559" w:history="1">
        <w:r w:rsidRPr="00A22634">
          <w:rPr>
            <w:rStyle w:val="af3"/>
            <w:noProof/>
          </w:rPr>
          <w:t>Proposal 5</w:t>
        </w:r>
        <w:r>
          <w:rPr>
            <w:rFonts w:asciiTheme="minorHAnsi" w:eastAsiaTheme="minorEastAsia" w:hAnsiTheme="minorHAnsi" w:cstheme="minorBidi"/>
            <w:b w:val="0"/>
            <w:noProof/>
            <w:kern w:val="2"/>
            <w:sz w:val="21"/>
          </w:rPr>
          <w:tab/>
        </w:r>
        <w:r w:rsidRPr="00A22634">
          <w:rPr>
            <w:rStyle w:val="af3"/>
            <w:noProof/>
          </w:rPr>
          <w:t>RAN2 considers to allocate m</w:t>
        </w:r>
        <w:r w:rsidRPr="00A22634">
          <w:rPr>
            <w:rStyle w:val="af3"/>
            <w:noProof/>
            <w:lang w:val="en-US"/>
          </w:rPr>
          <w:t>ultiple PUSCH transmission occasions in each CG period of a CG configuration. Each occasion carries individual data associated with one XR packet.</w:t>
        </w:r>
      </w:hyperlink>
    </w:p>
    <w:p w14:paraId="4346B251" w14:textId="638AAA9D" w:rsidR="00522F9F" w:rsidRDefault="00522F9F">
      <w:pPr>
        <w:pStyle w:val="TOC1"/>
        <w:rPr>
          <w:rFonts w:asciiTheme="minorHAnsi" w:eastAsiaTheme="minorEastAsia" w:hAnsiTheme="minorHAnsi" w:cstheme="minorBidi"/>
          <w:b w:val="0"/>
          <w:noProof/>
          <w:kern w:val="2"/>
          <w:sz w:val="21"/>
        </w:rPr>
      </w:pPr>
      <w:hyperlink w:anchor="_Toc118466560" w:history="1">
        <w:r w:rsidRPr="00A22634">
          <w:rPr>
            <w:rStyle w:val="af3"/>
            <w:noProof/>
          </w:rPr>
          <w:t>Proposal 6</w:t>
        </w:r>
        <w:r>
          <w:rPr>
            <w:rFonts w:asciiTheme="minorHAnsi" w:eastAsiaTheme="minorEastAsia" w:hAnsiTheme="minorHAnsi" w:cstheme="minorBidi"/>
            <w:b w:val="0"/>
            <w:noProof/>
            <w:kern w:val="2"/>
            <w:sz w:val="21"/>
          </w:rPr>
          <w:tab/>
        </w:r>
        <w:r w:rsidRPr="00A22634">
          <w:rPr>
            <w:rStyle w:val="af3"/>
            <w:noProof/>
          </w:rPr>
          <w:t xml:space="preserve">If RAN2 agrees to configure </w:t>
        </w:r>
        <w:r w:rsidRPr="00A22634">
          <w:rPr>
            <w:rStyle w:val="af3"/>
            <w:noProof/>
            <w:lang w:val="en-US"/>
          </w:rPr>
          <w:t>multiple PUSCH transmission occasions in each CG period of a CG configuration, how to calculate the HARQ process ID of each occasion should be studied.</w:t>
        </w:r>
      </w:hyperlink>
    </w:p>
    <w:p w14:paraId="0A33AA0A" w14:textId="3F1A451B" w:rsidR="00522F9F" w:rsidRDefault="00522F9F">
      <w:pPr>
        <w:pStyle w:val="TOC1"/>
        <w:rPr>
          <w:rFonts w:asciiTheme="minorHAnsi" w:eastAsiaTheme="minorEastAsia" w:hAnsiTheme="minorHAnsi" w:cstheme="minorBidi"/>
          <w:b w:val="0"/>
          <w:noProof/>
          <w:kern w:val="2"/>
          <w:sz w:val="21"/>
        </w:rPr>
      </w:pPr>
      <w:hyperlink w:anchor="_Toc118466561" w:history="1">
        <w:r w:rsidRPr="00A22634">
          <w:rPr>
            <w:rStyle w:val="af3"/>
            <w:noProof/>
          </w:rPr>
          <w:t>Proposal 7</w:t>
        </w:r>
        <w:r>
          <w:rPr>
            <w:rFonts w:asciiTheme="minorHAnsi" w:eastAsiaTheme="minorEastAsia" w:hAnsiTheme="minorHAnsi" w:cstheme="minorBidi"/>
            <w:b w:val="0"/>
            <w:noProof/>
            <w:kern w:val="2"/>
            <w:sz w:val="21"/>
          </w:rPr>
          <w:tab/>
        </w:r>
        <w:r w:rsidRPr="00A22634">
          <w:rPr>
            <w:rStyle w:val="af3"/>
            <w:noProof/>
          </w:rPr>
          <w:t>RAN2 considers the following solutions to resolve the periodicity mismatch issue:</w:t>
        </w:r>
      </w:hyperlink>
    </w:p>
    <w:p w14:paraId="7B0F0896" w14:textId="5C73A003" w:rsidR="00522F9F" w:rsidRDefault="00522F9F">
      <w:pPr>
        <w:pStyle w:val="TOC1"/>
        <w:rPr>
          <w:rFonts w:asciiTheme="minorHAnsi" w:eastAsiaTheme="minorEastAsia" w:hAnsiTheme="minorHAnsi" w:cstheme="minorBidi"/>
          <w:b w:val="0"/>
          <w:noProof/>
          <w:kern w:val="2"/>
          <w:sz w:val="21"/>
        </w:rPr>
      </w:pPr>
      <w:hyperlink w:anchor="_Toc118466562" w:history="1">
        <w:r w:rsidRPr="00A22634">
          <w:rPr>
            <w:rStyle w:val="af3"/>
            <w:noProof/>
          </w:rPr>
          <w:t>•</w:t>
        </w:r>
        <w:r>
          <w:rPr>
            <w:rFonts w:asciiTheme="minorHAnsi" w:eastAsiaTheme="minorEastAsia" w:hAnsiTheme="minorHAnsi" w:cstheme="minorBidi"/>
            <w:b w:val="0"/>
            <w:noProof/>
            <w:kern w:val="2"/>
            <w:sz w:val="21"/>
          </w:rPr>
          <w:tab/>
        </w:r>
        <w:r w:rsidRPr="00A22634">
          <w:rPr>
            <w:rStyle w:val="af3"/>
            <w:noProof/>
          </w:rPr>
          <w:t>Alt1: Introduce non-integer number for CG periodicity and add ceiling operation in CG occasion calculation formula.</w:t>
        </w:r>
      </w:hyperlink>
    </w:p>
    <w:p w14:paraId="0AC96339" w14:textId="3E01A371" w:rsidR="00522F9F" w:rsidRDefault="00522F9F">
      <w:pPr>
        <w:pStyle w:val="TOC1"/>
        <w:rPr>
          <w:rFonts w:asciiTheme="minorHAnsi" w:eastAsiaTheme="minorEastAsia" w:hAnsiTheme="minorHAnsi" w:cstheme="minorBidi"/>
          <w:b w:val="0"/>
          <w:noProof/>
          <w:kern w:val="2"/>
          <w:sz w:val="21"/>
        </w:rPr>
      </w:pPr>
      <w:hyperlink w:anchor="_Toc118466563" w:history="1">
        <w:r w:rsidRPr="00A22634">
          <w:rPr>
            <w:rStyle w:val="af3"/>
            <w:noProof/>
          </w:rPr>
          <w:t>•</w:t>
        </w:r>
        <w:r>
          <w:rPr>
            <w:rFonts w:asciiTheme="minorHAnsi" w:eastAsiaTheme="minorEastAsia" w:hAnsiTheme="minorHAnsi" w:cstheme="minorBidi"/>
            <w:b w:val="0"/>
            <w:noProof/>
            <w:kern w:val="2"/>
            <w:sz w:val="21"/>
          </w:rPr>
          <w:tab/>
        </w:r>
        <w:r w:rsidRPr="00A22634">
          <w:rPr>
            <w:rStyle w:val="af3"/>
            <w:noProof/>
          </w:rPr>
          <w:t>Alt2: Introduce the periodic CG pattern in which multiple non-consecutive PUSCH occasions can be configured.</w:t>
        </w:r>
      </w:hyperlink>
    </w:p>
    <w:p w14:paraId="709E4DDE" w14:textId="1293CD44"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505D250A" w14:textId="79C1AACC" w:rsidR="00706B96" w:rsidRDefault="003D1DDD">
      <w:r>
        <w:rPr>
          <w:lang w:val="en-US"/>
        </w:rPr>
        <w:t>[1]</w:t>
      </w:r>
      <w:r>
        <w:t xml:space="preserve"> </w:t>
      </w:r>
      <w:r w:rsidR="0079271A" w:rsidRPr="00706B96">
        <w:t>RP-</w:t>
      </w:r>
      <w:proofErr w:type="gramStart"/>
      <w:r w:rsidR="0079271A" w:rsidRPr="00706B96">
        <w:t>220285</w:t>
      </w:r>
      <w:r w:rsidR="00706B96">
        <w:t xml:space="preserve">  </w:t>
      </w:r>
      <w:r w:rsidR="00706B96" w:rsidRPr="00706B96">
        <w:t>New</w:t>
      </w:r>
      <w:proofErr w:type="gramEnd"/>
      <w:r w:rsidR="00706B96" w:rsidRPr="00706B96">
        <w:t xml:space="preserve"> SID “Study on XR Enhancements for NR”</w:t>
      </w:r>
    </w:p>
    <w:p w14:paraId="06DBA4DF" w14:textId="1AC23F22" w:rsidR="005B4F03" w:rsidRDefault="005B4F03">
      <w:r>
        <w:rPr>
          <w:rFonts w:hint="eastAsia"/>
        </w:rPr>
        <w:t>[</w:t>
      </w:r>
      <w:r>
        <w:t xml:space="preserve">2] 3GPP TR 23.700-60 </w:t>
      </w:r>
      <w:r w:rsidRPr="005B4F03">
        <w:t>Study on XR (Extended Reality) and media services</w:t>
      </w:r>
    </w:p>
    <w:p w14:paraId="28FCBAF8" w14:textId="69C63544" w:rsidR="00097815" w:rsidRDefault="00097815">
      <w:r>
        <w:rPr>
          <w:rFonts w:hint="eastAsia"/>
        </w:rPr>
        <w:t>[</w:t>
      </w:r>
      <w:r>
        <w:t xml:space="preserve">3] </w:t>
      </w:r>
      <w:r w:rsidRPr="00097815">
        <w:t>S2-2209257</w:t>
      </w:r>
      <w:r>
        <w:t>_</w:t>
      </w:r>
      <w:r w:rsidRPr="00097815">
        <w:t xml:space="preserve"> S4aV220921</w:t>
      </w:r>
      <w:r>
        <w:t xml:space="preserve"> Reply </w:t>
      </w:r>
      <w:r w:rsidRPr="00067D02">
        <w:rPr>
          <w:color w:val="0D0D0D"/>
        </w:rPr>
        <w:t>LS on further details on XR traffic</w:t>
      </w:r>
      <w:r w:rsidR="004323E5">
        <w:rPr>
          <w:color w:val="0D0D0D"/>
        </w:rPr>
        <w:t xml:space="preserve"> (</w:t>
      </w:r>
      <w:r w:rsidR="00B609B7">
        <w:rPr>
          <w:color w:val="0D0D0D"/>
        </w:rPr>
        <w:t>C</w:t>
      </w:r>
      <w:r>
        <w:rPr>
          <w:color w:val="0D0D0D"/>
        </w:rPr>
        <w:t>ontact: T</w:t>
      </w:r>
      <w:r w:rsidRPr="00097815">
        <w:rPr>
          <w:color w:val="0D0D0D"/>
        </w:rPr>
        <w:t>encent</w:t>
      </w:r>
      <w:r w:rsidR="004323E5">
        <w:rPr>
          <w:color w:val="0D0D0D"/>
        </w:rPr>
        <w:t>)</w:t>
      </w:r>
    </w:p>
    <w:p w14:paraId="66A80CB6" w14:textId="77777777" w:rsidR="00FB3C9D" w:rsidRDefault="00FB3C9D">
      <w:pPr>
        <w:rPr>
          <w:lang w:val="en-US"/>
        </w:rPr>
      </w:pPr>
    </w:p>
    <w:sectPr w:rsidR="00FB3C9D">
      <w:footerReference w:type="default" r:id="rId13"/>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F0B3E" w14:textId="77777777" w:rsidR="005B4ED1" w:rsidRDefault="005B4ED1">
      <w:pPr>
        <w:spacing w:after="0"/>
      </w:pPr>
      <w:r>
        <w:separator/>
      </w:r>
    </w:p>
  </w:endnote>
  <w:endnote w:type="continuationSeparator" w:id="0">
    <w:p w14:paraId="475DD70A" w14:textId="77777777" w:rsidR="005B4ED1" w:rsidRDefault="005B4E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569B3" w14:textId="77777777" w:rsidR="005B4ED1" w:rsidRDefault="005B4ED1">
      <w:pPr>
        <w:spacing w:after="0"/>
      </w:pPr>
      <w:r>
        <w:separator/>
      </w:r>
    </w:p>
  </w:footnote>
  <w:footnote w:type="continuationSeparator" w:id="0">
    <w:p w14:paraId="6B0C5050" w14:textId="77777777" w:rsidR="005B4ED1" w:rsidRDefault="005B4E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7B7D22"/>
    <w:multiLevelType w:val="hybridMultilevel"/>
    <w:tmpl w:val="5328A180"/>
    <w:lvl w:ilvl="0" w:tplc="D242D5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9"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1"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3"/>
  </w:num>
  <w:num w:numId="2">
    <w:abstractNumId w:val="12"/>
  </w:num>
  <w:num w:numId="3">
    <w:abstractNumId w:val="26"/>
  </w:num>
  <w:num w:numId="4">
    <w:abstractNumId w:val="4"/>
  </w:num>
  <w:num w:numId="5">
    <w:abstractNumId w:val="20"/>
  </w:num>
  <w:num w:numId="6">
    <w:abstractNumId w:val="6"/>
  </w:num>
  <w:num w:numId="7">
    <w:abstractNumId w:val="5"/>
  </w:num>
  <w:num w:numId="8">
    <w:abstractNumId w:val="18"/>
  </w:num>
  <w:num w:numId="9">
    <w:abstractNumId w:val="23"/>
  </w:num>
  <w:num w:numId="10">
    <w:abstractNumId w:val="17"/>
  </w:num>
  <w:num w:numId="11">
    <w:abstractNumId w:val="10"/>
  </w:num>
  <w:num w:numId="12">
    <w:abstractNumId w:val="2"/>
  </w:num>
  <w:num w:numId="13">
    <w:abstractNumId w:val="9"/>
  </w:num>
  <w:num w:numId="14">
    <w:abstractNumId w:val="25"/>
  </w:num>
  <w:num w:numId="15">
    <w:abstractNumId w:val="3"/>
  </w:num>
  <w:num w:numId="16">
    <w:abstractNumId w:val="24"/>
  </w:num>
  <w:num w:numId="17">
    <w:abstractNumId w:val="29"/>
  </w:num>
  <w:num w:numId="18">
    <w:abstractNumId w:val="16"/>
  </w:num>
  <w:num w:numId="19">
    <w:abstractNumId w:val="2"/>
  </w:num>
  <w:num w:numId="20">
    <w:abstractNumId w:val="2"/>
  </w:num>
  <w:num w:numId="21">
    <w:abstractNumId w:val="28"/>
  </w:num>
  <w:num w:numId="22">
    <w:abstractNumId w:val="22"/>
  </w:num>
  <w:num w:numId="23">
    <w:abstractNumId w:val="14"/>
  </w:num>
  <w:num w:numId="24">
    <w:abstractNumId w:val="0"/>
  </w:num>
  <w:num w:numId="25">
    <w:abstractNumId w:val="19"/>
  </w:num>
  <w:num w:numId="26">
    <w:abstractNumId w:val="25"/>
  </w:num>
  <w:num w:numId="27">
    <w:abstractNumId w:val="11"/>
  </w:num>
  <w:num w:numId="28">
    <w:abstractNumId w:val="25"/>
  </w:num>
  <w:num w:numId="29">
    <w:abstractNumId w:val="8"/>
  </w:num>
  <w:num w:numId="30">
    <w:abstractNumId w:val="7"/>
  </w:num>
  <w:num w:numId="31">
    <w:abstractNumId w:val="31"/>
  </w:num>
  <w:num w:numId="32">
    <w:abstractNumId w:val="2"/>
  </w:num>
  <w:num w:numId="33">
    <w:abstractNumId w:val="30"/>
  </w:num>
  <w:num w:numId="34">
    <w:abstractNumId w:val="15"/>
  </w:num>
  <w:num w:numId="35">
    <w:abstractNumId w:val="2"/>
  </w:num>
  <w:num w:numId="36">
    <w:abstractNumId w:val="27"/>
  </w:num>
  <w:num w:numId="37">
    <w:abstractNumId w:val="1"/>
  </w:num>
  <w:num w:numId="38">
    <w:abstractNumId w:val="2"/>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6910"/>
    <w:rsid w:val="00010824"/>
    <w:rsid w:val="00010C2A"/>
    <w:rsid w:val="0001227E"/>
    <w:rsid w:val="00012693"/>
    <w:rsid w:val="00016066"/>
    <w:rsid w:val="00017121"/>
    <w:rsid w:val="00020218"/>
    <w:rsid w:val="0002127F"/>
    <w:rsid w:val="00023758"/>
    <w:rsid w:val="00027541"/>
    <w:rsid w:val="000325EF"/>
    <w:rsid w:val="00032C5A"/>
    <w:rsid w:val="0003461C"/>
    <w:rsid w:val="00034B3C"/>
    <w:rsid w:val="00035854"/>
    <w:rsid w:val="00036F26"/>
    <w:rsid w:val="00041594"/>
    <w:rsid w:val="00041B32"/>
    <w:rsid w:val="00043C1A"/>
    <w:rsid w:val="00044D3C"/>
    <w:rsid w:val="00045031"/>
    <w:rsid w:val="00046C78"/>
    <w:rsid w:val="000477D6"/>
    <w:rsid w:val="00047E18"/>
    <w:rsid w:val="00050648"/>
    <w:rsid w:val="0005383A"/>
    <w:rsid w:val="000571A8"/>
    <w:rsid w:val="000600F2"/>
    <w:rsid w:val="00061DF6"/>
    <w:rsid w:val="00066F60"/>
    <w:rsid w:val="00070998"/>
    <w:rsid w:val="00071672"/>
    <w:rsid w:val="0007265F"/>
    <w:rsid w:val="000747B3"/>
    <w:rsid w:val="00075423"/>
    <w:rsid w:val="00076488"/>
    <w:rsid w:val="000803A9"/>
    <w:rsid w:val="000830B0"/>
    <w:rsid w:val="000831DF"/>
    <w:rsid w:val="00087A0C"/>
    <w:rsid w:val="00091F89"/>
    <w:rsid w:val="0009452C"/>
    <w:rsid w:val="00097815"/>
    <w:rsid w:val="000A2813"/>
    <w:rsid w:val="000A3559"/>
    <w:rsid w:val="000A6F68"/>
    <w:rsid w:val="000B0BFE"/>
    <w:rsid w:val="000B4328"/>
    <w:rsid w:val="000B5CEC"/>
    <w:rsid w:val="000B63BC"/>
    <w:rsid w:val="000C05AC"/>
    <w:rsid w:val="000C1292"/>
    <w:rsid w:val="000C7608"/>
    <w:rsid w:val="000C7757"/>
    <w:rsid w:val="000C7E0C"/>
    <w:rsid w:val="000D16A7"/>
    <w:rsid w:val="000D1C28"/>
    <w:rsid w:val="000D443A"/>
    <w:rsid w:val="000D7AE5"/>
    <w:rsid w:val="000E13F1"/>
    <w:rsid w:val="000F0EF0"/>
    <w:rsid w:val="000F4FF2"/>
    <w:rsid w:val="000F5B8F"/>
    <w:rsid w:val="00107630"/>
    <w:rsid w:val="00115300"/>
    <w:rsid w:val="00116BFF"/>
    <w:rsid w:val="00120148"/>
    <w:rsid w:val="00120AA2"/>
    <w:rsid w:val="00120D30"/>
    <w:rsid w:val="00123527"/>
    <w:rsid w:val="001246AF"/>
    <w:rsid w:val="00124D97"/>
    <w:rsid w:val="001251B1"/>
    <w:rsid w:val="00125F99"/>
    <w:rsid w:val="00126782"/>
    <w:rsid w:val="00130DAA"/>
    <w:rsid w:val="00136D1F"/>
    <w:rsid w:val="00137A40"/>
    <w:rsid w:val="00137C2F"/>
    <w:rsid w:val="0014162A"/>
    <w:rsid w:val="00142A95"/>
    <w:rsid w:val="00143CEB"/>
    <w:rsid w:val="001453D0"/>
    <w:rsid w:val="00145F7C"/>
    <w:rsid w:val="00146512"/>
    <w:rsid w:val="00146774"/>
    <w:rsid w:val="00146E5B"/>
    <w:rsid w:val="00146FD2"/>
    <w:rsid w:val="0015032E"/>
    <w:rsid w:val="00150A64"/>
    <w:rsid w:val="0015358B"/>
    <w:rsid w:val="00154202"/>
    <w:rsid w:val="001567FC"/>
    <w:rsid w:val="00160C90"/>
    <w:rsid w:val="00164072"/>
    <w:rsid w:val="0016524B"/>
    <w:rsid w:val="0016575B"/>
    <w:rsid w:val="001666E6"/>
    <w:rsid w:val="00166975"/>
    <w:rsid w:val="00172B9D"/>
    <w:rsid w:val="0018256B"/>
    <w:rsid w:val="0018597D"/>
    <w:rsid w:val="00192F9F"/>
    <w:rsid w:val="00193EEB"/>
    <w:rsid w:val="00194921"/>
    <w:rsid w:val="001959AB"/>
    <w:rsid w:val="001968AE"/>
    <w:rsid w:val="001A0318"/>
    <w:rsid w:val="001A09A1"/>
    <w:rsid w:val="001A33BE"/>
    <w:rsid w:val="001A6551"/>
    <w:rsid w:val="001A67B8"/>
    <w:rsid w:val="001B00C3"/>
    <w:rsid w:val="001B243E"/>
    <w:rsid w:val="001B26C0"/>
    <w:rsid w:val="001B3D23"/>
    <w:rsid w:val="001B3F73"/>
    <w:rsid w:val="001B490B"/>
    <w:rsid w:val="001B64DA"/>
    <w:rsid w:val="001C1B9F"/>
    <w:rsid w:val="001C41A4"/>
    <w:rsid w:val="001C591F"/>
    <w:rsid w:val="001C69C6"/>
    <w:rsid w:val="001C7D41"/>
    <w:rsid w:val="001D0E02"/>
    <w:rsid w:val="001D138C"/>
    <w:rsid w:val="001D1C02"/>
    <w:rsid w:val="001D7250"/>
    <w:rsid w:val="001D7484"/>
    <w:rsid w:val="001E061A"/>
    <w:rsid w:val="001F2CC8"/>
    <w:rsid w:val="0020102A"/>
    <w:rsid w:val="002013CB"/>
    <w:rsid w:val="00201D0B"/>
    <w:rsid w:val="0020581D"/>
    <w:rsid w:val="0021102D"/>
    <w:rsid w:val="0021133B"/>
    <w:rsid w:val="00212650"/>
    <w:rsid w:val="00212FB1"/>
    <w:rsid w:val="0021419D"/>
    <w:rsid w:val="00215EA4"/>
    <w:rsid w:val="00216B49"/>
    <w:rsid w:val="0021712F"/>
    <w:rsid w:val="002226D1"/>
    <w:rsid w:val="00223C87"/>
    <w:rsid w:val="00223F00"/>
    <w:rsid w:val="002246E7"/>
    <w:rsid w:val="00224D61"/>
    <w:rsid w:val="00226DEC"/>
    <w:rsid w:val="00231ED6"/>
    <w:rsid w:val="0023440F"/>
    <w:rsid w:val="002416E2"/>
    <w:rsid w:val="00241839"/>
    <w:rsid w:val="00244E56"/>
    <w:rsid w:val="0025098E"/>
    <w:rsid w:val="00253E27"/>
    <w:rsid w:val="002541E2"/>
    <w:rsid w:val="00257DD1"/>
    <w:rsid w:val="002612DE"/>
    <w:rsid w:val="00266A70"/>
    <w:rsid w:val="0026725A"/>
    <w:rsid w:val="0027424D"/>
    <w:rsid w:val="00274595"/>
    <w:rsid w:val="00276E9C"/>
    <w:rsid w:val="00281CCF"/>
    <w:rsid w:val="00283C1B"/>
    <w:rsid w:val="00290AAF"/>
    <w:rsid w:val="00291F62"/>
    <w:rsid w:val="00292209"/>
    <w:rsid w:val="0029341F"/>
    <w:rsid w:val="0029389B"/>
    <w:rsid w:val="0029707B"/>
    <w:rsid w:val="002A5D62"/>
    <w:rsid w:val="002A5F0B"/>
    <w:rsid w:val="002B1D30"/>
    <w:rsid w:val="002B543F"/>
    <w:rsid w:val="002B74A7"/>
    <w:rsid w:val="002C0667"/>
    <w:rsid w:val="002C17FA"/>
    <w:rsid w:val="002C4247"/>
    <w:rsid w:val="002C682B"/>
    <w:rsid w:val="002C7249"/>
    <w:rsid w:val="002D3ABC"/>
    <w:rsid w:val="002E0B92"/>
    <w:rsid w:val="002E212C"/>
    <w:rsid w:val="002E4B00"/>
    <w:rsid w:val="002E5B1B"/>
    <w:rsid w:val="002E6820"/>
    <w:rsid w:val="002F4963"/>
    <w:rsid w:val="002F4C73"/>
    <w:rsid w:val="002F6B1B"/>
    <w:rsid w:val="00302FC6"/>
    <w:rsid w:val="00303C49"/>
    <w:rsid w:val="003044FC"/>
    <w:rsid w:val="00306EDF"/>
    <w:rsid w:val="003106F3"/>
    <w:rsid w:val="00310E40"/>
    <w:rsid w:val="003134B3"/>
    <w:rsid w:val="00313585"/>
    <w:rsid w:val="003142E4"/>
    <w:rsid w:val="003146CD"/>
    <w:rsid w:val="00314CF3"/>
    <w:rsid w:val="00315CAB"/>
    <w:rsid w:val="00320928"/>
    <w:rsid w:val="0032123A"/>
    <w:rsid w:val="00322E2F"/>
    <w:rsid w:val="003236AE"/>
    <w:rsid w:val="0032532E"/>
    <w:rsid w:val="00325471"/>
    <w:rsid w:val="00325BFC"/>
    <w:rsid w:val="003264A9"/>
    <w:rsid w:val="00326F83"/>
    <w:rsid w:val="00327666"/>
    <w:rsid w:val="0033023A"/>
    <w:rsid w:val="0033050F"/>
    <w:rsid w:val="003342BA"/>
    <w:rsid w:val="003369E9"/>
    <w:rsid w:val="00341E36"/>
    <w:rsid w:val="0035273F"/>
    <w:rsid w:val="00355841"/>
    <w:rsid w:val="00356FDC"/>
    <w:rsid w:val="00357AEB"/>
    <w:rsid w:val="00360B57"/>
    <w:rsid w:val="0036114A"/>
    <w:rsid w:val="0036149D"/>
    <w:rsid w:val="00362F5A"/>
    <w:rsid w:val="0036581A"/>
    <w:rsid w:val="00367918"/>
    <w:rsid w:val="00374C4D"/>
    <w:rsid w:val="00376B2D"/>
    <w:rsid w:val="003779BF"/>
    <w:rsid w:val="00377EFF"/>
    <w:rsid w:val="00386992"/>
    <w:rsid w:val="00391515"/>
    <w:rsid w:val="00392BB3"/>
    <w:rsid w:val="003948AA"/>
    <w:rsid w:val="0039504D"/>
    <w:rsid w:val="00396601"/>
    <w:rsid w:val="003A04B8"/>
    <w:rsid w:val="003A1E0B"/>
    <w:rsid w:val="003A60D8"/>
    <w:rsid w:val="003A67D7"/>
    <w:rsid w:val="003B49F1"/>
    <w:rsid w:val="003B61CA"/>
    <w:rsid w:val="003B71EF"/>
    <w:rsid w:val="003C2081"/>
    <w:rsid w:val="003C2BFC"/>
    <w:rsid w:val="003C43B0"/>
    <w:rsid w:val="003C6AD2"/>
    <w:rsid w:val="003C7201"/>
    <w:rsid w:val="003D1250"/>
    <w:rsid w:val="003D164A"/>
    <w:rsid w:val="003D1DDD"/>
    <w:rsid w:val="003D2725"/>
    <w:rsid w:val="003D290B"/>
    <w:rsid w:val="003E290C"/>
    <w:rsid w:val="003E3AFA"/>
    <w:rsid w:val="003E71F8"/>
    <w:rsid w:val="003F09FA"/>
    <w:rsid w:val="003F3967"/>
    <w:rsid w:val="00400638"/>
    <w:rsid w:val="00401C2D"/>
    <w:rsid w:val="0040227A"/>
    <w:rsid w:val="00404249"/>
    <w:rsid w:val="004102D8"/>
    <w:rsid w:val="00411B2A"/>
    <w:rsid w:val="0041225C"/>
    <w:rsid w:val="0041279E"/>
    <w:rsid w:val="00413D56"/>
    <w:rsid w:val="0041618A"/>
    <w:rsid w:val="00417E59"/>
    <w:rsid w:val="004217DB"/>
    <w:rsid w:val="0042440F"/>
    <w:rsid w:val="004265B5"/>
    <w:rsid w:val="0042797D"/>
    <w:rsid w:val="00430DE0"/>
    <w:rsid w:val="00431991"/>
    <w:rsid w:val="004323E5"/>
    <w:rsid w:val="004331F7"/>
    <w:rsid w:val="004332EF"/>
    <w:rsid w:val="0043359C"/>
    <w:rsid w:val="0043433F"/>
    <w:rsid w:val="004408C8"/>
    <w:rsid w:val="00444E1A"/>
    <w:rsid w:val="00446710"/>
    <w:rsid w:val="00447B68"/>
    <w:rsid w:val="00450C67"/>
    <w:rsid w:val="0045633B"/>
    <w:rsid w:val="00460E76"/>
    <w:rsid w:val="004613EE"/>
    <w:rsid w:val="00462056"/>
    <w:rsid w:val="00462FC6"/>
    <w:rsid w:val="00463756"/>
    <w:rsid w:val="0046517B"/>
    <w:rsid w:val="00466280"/>
    <w:rsid w:val="00470523"/>
    <w:rsid w:val="00472D44"/>
    <w:rsid w:val="004753A7"/>
    <w:rsid w:val="00475A83"/>
    <w:rsid w:val="00475AA8"/>
    <w:rsid w:val="00476F75"/>
    <w:rsid w:val="00477C76"/>
    <w:rsid w:val="004804C7"/>
    <w:rsid w:val="00480E51"/>
    <w:rsid w:val="00483DE8"/>
    <w:rsid w:val="0048562E"/>
    <w:rsid w:val="00491E20"/>
    <w:rsid w:val="004A313E"/>
    <w:rsid w:val="004A47FC"/>
    <w:rsid w:val="004A50EA"/>
    <w:rsid w:val="004A51A0"/>
    <w:rsid w:val="004A6620"/>
    <w:rsid w:val="004A6B43"/>
    <w:rsid w:val="004B2880"/>
    <w:rsid w:val="004B2EEF"/>
    <w:rsid w:val="004B48A7"/>
    <w:rsid w:val="004B4F9E"/>
    <w:rsid w:val="004B7085"/>
    <w:rsid w:val="004C4B19"/>
    <w:rsid w:val="004D1103"/>
    <w:rsid w:val="004D25E9"/>
    <w:rsid w:val="004D5395"/>
    <w:rsid w:val="004D5A3E"/>
    <w:rsid w:val="004D5C06"/>
    <w:rsid w:val="004D673D"/>
    <w:rsid w:val="004E1F6C"/>
    <w:rsid w:val="004F0F81"/>
    <w:rsid w:val="004F125F"/>
    <w:rsid w:val="004F3D6B"/>
    <w:rsid w:val="004F67E1"/>
    <w:rsid w:val="004F6E28"/>
    <w:rsid w:val="005057BD"/>
    <w:rsid w:val="00510367"/>
    <w:rsid w:val="00510946"/>
    <w:rsid w:val="0051112D"/>
    <w:rsid w:val="00511731"/>
    <w:rsid w:val="005119B0"/>
    <w:rsid w:val="00511A32"/>
    <w:rsid w:val="00522307"/>
    <w:rsid w:val="00522F9F"/>
    <w:rsid w:val="005254E3"/>
    <w:rsid w:val="005272CA"/>
    <w:rsid w:val="00527BDE"/>
    <w:rsid w:val="00530857"/>
    <w:rsid w:val="00530B91"/>
    <w:rsid w:val="00532548"/>
    <w:rsid w:val="00532FC8"/>
    <w:rsid w:val="005345EC"/>
    <w:rsid w:val="005347C1"/>
    <w:rsid w:val="00534FB9"/>
    <w:rsid w:val="00535E64"/>
    <w:rsid w:val="005365BA"/>
    <w:rsid w:val="00536BAF"/>
    <w:rsid w:val="005376D6"/>
    <w:rsid w:val="00537917"/>
    <w:rsid w:val="00540097"/>
    <w:rsid w:val="005410C9"/>
    <w:rsid w:val="00542290"/>
    <w:rsid w:val="0054303A"/>
    <w:rsid w:val="005442E9"/>
    <w:rsid w:val="005459C0"/>
    <w:rsid w:val="005506E1"/>
    <w:rsid w:val="005546A7"/>
    <w:rsid w:val="005568E0"/>
    <w:rsid w:val="0056179B"/>
    <w:rsid w:val="00563088"/>
    <w:rsid w:val="00565996"/>
    <w:rsid w:val="00566DD9"/>
    <w:rsid w:val="00573102"/>
    <w:rsid w:val="005776EF"/>
    <w:rsid w:val="00580546"/>
    <w:rsid w:val="00582518"/>
    <w:rsid w:val="00585EDB"/>
    <w:rsid w:val="0059081E"/>
    <w:rsid w:val="0059202A"/>
    <w:rsid w:val="005957B0"/>
    <w:rsid w:val="0059714B"/>
    <w:rsid w:val="005976F6"/>
    <w:rsid w:val="005A1C6B"/>
    <w:rsid w:val="005A5A26"/>
    <w:rsid w:val="005A624F"/>
    <w:rsid w:val="005A7621"/>
    <w:rsid w:val="005B03CC"/>
    <w:rsid w:val="005B3749"/>
    <w:rsid w:val="005B4ED1"/>
    <w:rsid w:val="005B4F03"/>
    <w:rsid w:val="005B57AD"/>
    <w:rsid w:val="005C058F"/>
    <w:rsid w:val="005C0BB4"/>
    <w:rsid w:val="005C0F58"/>
    <w:rsid w:val="005C46AB"/>
    <w:rsid w:val="005C550E"/>
    <w:rsid w:val="005D0C7E"/>
    <w:rsid w:val="005D23BF"/>
    <w:rsid w:val="005D4251"/>
    <w:rsid w:val="005D7002"/>
    <w:rsid w:val="005D70B9"/>
    <w:rsid w:val="005E14E8"/>
    <w:rsid w:val="005E2E74"/>
    <w:rsid w:val="005E2F02"/>
    <w:rsid w:val="005E4FCF"/>
    <w:rsid w:val="005E52A0"/>
    <w:rsid w:val="005E63D8"/>
    <w:rsid w:val="005E7F5A"/>
    <w:rsid w:val="005F0312"/>
    <w:rsid w:val="005F1632"/>
    <w:rsid w:val="005F1B93"/>
    <w:rsid w:val="005F25C0"/>
    <w:rsid w:val="005F4F8A"/>
    <w:rsid w:val="005F5557"/>
    <w:rsid w:val="005F63EA"/>
    <w:rsid w:val="005F7EB0"/>
    <w:rsid w:val="00605737"/>
    <w:rsid w:val="006077DC"/>
    <w:rsid w:val="006079AD"/>
    <w:rsid w:val="00610954"/>
    <w:rsid w:val="0061192E"/>
    <w:rsid w:val="0061237A"/>
    <w:rsid w:val="006128B8"/>
    <w:rsid w:val="006138C6"/>
    <w:rsid w:val="00613908"/>
    <w:rsid w:val="006140DE"/>
    <w:rsid w:val="00614C44"/>
    <w:rsid w:val="006162B3"/>
    <w:rsid w:val="00616ACA"/>
    <w:rsid w:val="00617A22"/>
    <w:rsid w:val="0062039A"/>
    <w:rsid w:val="0062114A"/>
    <w:rsid w:val="00621611"/>
    <w:rsid w:val="00622777"/>
    <w:rsid w:val="006311AC"/>
    <w:rsid w:val="006312DE"/>
    <w:rsid w:val="006320BE"/>
    <w:rsid w:val="00645685"/>
    <w:rsid w:val="0065079C"/>
    <w:rsid w:val="00653C03"/>
    <w:rsid w:val="00657BF2"/>
    <w:rsid w:val="006602B6"/>
    <w:rsid w:val="006606CB"/>
    <w:rsid w:val="00660ED0"/>
    <w:rsid w:val="00666D49"/>
    <w:rsid w:val="00672921"/>
    <w:rsid w:val="00673F6C"/>
    <w:rsid w:val="006837EE"/>
    <w:rsid w:val="006848AD"/>
    <w:rsid w:val="00687DD2"/>
    <w:rsid w:val="00695C86"/>
    <w:rsid w:val="006A007C"/>
    <w:rsid w:val="006A5213"/>
    <w:rsid w:val="006B3178"/>
    <w:rsid w:val="006B70F7"/>
    <w:rsid w:val="006B78ED"/>
    <w:rsid w:val="006B7B41"/>
    <w:rsid w:val="006C0AEA"/>
    <w:rsid w:val="006C344F"/>
    <w:rsid w:val="006C5870"/>
    <w:rsid w:val="006C6AA5"/>
    <w:rsid w:val="006C7EE5"/>
    <w:rsid w:val="006D46EB"/>
    <w:rsid w:val="006D498B"/>
    <w:rsid w:val="006E1A21"/>
    <w:rsid w:val="006E7E43"/>
    <w:rsid w:val="006F0031"/>
    <w:rsid w:val="006F0C7A"/>
    <w:rsid w:val="006F1C01"/>
    <w:rsid w:val="006F467C"/>
    <w:rsid w:val="006F4DAA"/>
    <w:rsid w:val="0070026F"/>
    <w:rsid w:val="00701454"/>
    <w:rsid w:val="00705017"/>
    <w:rsid w:val="00705AA6"/>
    <w:rsid w:val="00706B96"/>
    <w:rsid w:val="007075A4"/>
    <w:rsid w:val="007108B2"/>
    <w:rsid w:val="0071128D"/>
    <w:rsid w:val="00727BC7"/>
    <w:rsid w:val="00727C2B"/>
    <w:rsid w:val="007308FE"/>
    <w:rsid w:val="00733E11"/>
    <w:rsid w:val="00737440"/>
    <w:rsid w:val="00741CE7"/>
    <w:rsid w:val="00744D5C"/>
    <w:rsid w:val="00745A61"/>
    <w:rsid w:val="00753C4A"/>
    <w:rsid w:val="00756567"/>
    <w:rsid w:val="007570AF"/>
    <w:rsid w:val="00770A28"/>
    <w:rsid w:val="00772E18"/>
    <w:rsid w:val="00774B06"/>
    <w:rsid w:val="00775EB6"/>
    <w:rsid w:val="00775ED3"/>
    <w:rsid w:val="00776C9C"/>
    <w:rsid w:val="00777D4B"/>
    <w:rsid w:val="007811C7"/>
    <w:rsid w:val="00782013"/>
    <w:rsid w:val="00782785"/>
    <w:rsid w:val="00782BCB"/>
    <w:rsid w:val="00784986"/>
    <w:rsid w:val="0078609B"/>
    <w:rsid w:val="0079271A"/>
    <w:rsid w:val="00792C8A"/>
    <w:rsid w:val="007939AD"/>
    <w:rsid w:val="007A2E95"/>
    <w:rsid w:val="007A4EF2"/>
    <w:rsid w:val="007A758D"/>
    <w:rsid w:val="007B34B3"/>
    <w:rsid w:val="007B34F4"/>
    <w:rsid w:val="007B60C0"/>
    <w:rsid w:val="007C1429"/>
    <w:rsid w:val="007C1957"/>
    <w:rsid w:val="007D19E6"/>
    <w:rsid w:val="007D4E07"/>
    <w:rsid w:val="007D54C9"/>
    <w:rsid w:val="007E0864"/>
    <w:rsid w:val="007E1030"/>
    <w:rsid w:val="007E2FDD"/>
    <w:rsid w:val="007E4F6D"/>
    <w:rsid w:val="007E5925"/>
    <w:rsid w:val="007E76E7"/>
    <w:rsid w:val="007F1CAD"/>
    <w:rsid w:val="007F3EF1"/>
    <w:rsid w:val="007F5FF6"/>
    <w:rsid w:val="007F679E"/>
    <w:rsid w:val="00802763"/>
    <w:rsid w:val="00804ECD"/>
    <w:rsid w:val="008062BF"/>
    <w:rsid w:val="008076AB"/>
    <w:rsid w:val="00813766"/>
    <w:rsid w:val="00813CEE"/>
    <w:rsid w:val="00813DCF"/>
    <w:rsid w:val="008140E2"/>
    <w:rsid w:val="00814DA9"/>
    <w:rsid w:val="00815445"/>
    <w:rsid w:val="008156BC"/>
    <w:rsid w:val="00820593"/>
    <w:rsid w:val="008212BE"/>
    <w:rsid w:val="00822734"/>
    <w:rsid w:val="008227D6"/>
    <w:rsid w:val="00825AAE"/>
    <w:rsid w:val="00826189"/>
    <w:rsid w:val="00827B18"/>
    <w:rsid w:val="00827E93"/>
    <w:rsid w:val="00827EA2"/>
    <w:rsid w:val="00842380"/>
    <w:rsid w:val="008424A7"/>
    <w:rsid w:val="00846F71"/>
    <w:rsid w:val="00852426"/>
    <w:rsid w:val="00853D38"/>
    <w:rsid w:val="00854B7B"/>
    <w:rsid w:val="00854DEF"/>
    <w:rsid w:val="00854EE4"/>
    <w:rsid w:val="008554E1"/>
    <w:rsid w:val="00855622"/>
    <w:rsid w:val="00856448"/>
    <w:rsid w:val="00856AC4"/>
    <w:rsid w:val="00862119"/>
    <w:rsid w:val="00865199"/>
    <w:rsid w:val="00867DF4"/>
    <w:rsid w:val="00870FF0"/>
    <w:rsid w:val="00873F6E"/>
    <w:rsid w:val="008810D4"/>
    <w:rsid w:val="0088201F"/>
    <w:rsid w:val="008824E1"/>
    <w:rsid w:val="008844C3"/>
    <w:rsid w:val="008849C7"/>
    <w:rsid w:val="0088553C"/>
    <w:rsid w:val="00885F32"/>
    <w:rsid w:val="00891D04"/>
    <w:rsid w:val="00892820"/>
    <w:rsid w:val="008952D9"/>
    <w:rsid w:val="008974BE"/>
    <w:rsid w:val="008A0DD5"/>
    <w:rsid w:val="008A1D00"/>
    <w:rsid w:val="008A250A"/>
    <w:rsid w:val="008B026E"/>
    <w:rsid w:val="008B0EEB"/>
    <w:rsid w:val="008B0F81"/>
    <w:rsid w:val="008B5E88"/>
    <w:rsid w:val="008B63DC"/>
    <w:rsid w:val="008C0AA9"/>
    <w:rsid w:val="008C157B"/>
    <w:rsid w:val="008C6DBE"/>
    <w:rsid w:val="008D2411"/>
    <w:rsid w:val="008D54D4"/>
    <w:rsid w:val="008D6239"/>
    <w:rsid w:val="008D7881"/>
    <w:rsid w:val="008E2773"/>
    <w:rsid w:val="008E312F"/>
    <w:rsid w:val="008E399F"/>
    <w:rsid w:val="008E48F2"/>
    <w:rsid w:val="008F373E"/>
    <w:rsid w:val="008F3B6D"/>
    <w:rsid w:val="009000C9"/>
    <w:rsid w:val="00901733"/>
    <w:rsid w:val="00904A64"/>
    <w:rsid w:val="00912A41"/>
    <w:rsid w:val="00915A3A"/>
    <w:rsid w:val="00917FA3"/>
    <w:rsid w:val="0092526F"/>
    <w:rsid w:val="00925C8D"/>
    <w:rsid w:val="00925EFA"/>
    <w:rsid w:val="00927A72"/>
    <w:rsid w:val="00930A3A"/>
    <w:rsid w:val="009346DA"/>
    <w:rsid w:val="00937F43"/>
    <w:rsid w:val="00940AE2"/>
    <w:rsid w:val="00950EBF"/>
    <w:rsid w:val="00954130"/>
    <w:rsid w:val="0095515B"/>
    <w:rsid w:val="009611F9"/>
    <w:rsid w:val="0096380B"/>
    <w:rsid w:val="00963B3B"/>
    <w:rsid w:val="009646E4"/>
    <w:rsid w:val="009678D2"/>
    <w:rsid w:val="00971195"/>
    <w:rsid w:val="0097571B"/>
    <w:rsid w:val="009775BE"/>
    <w:rsid w:val="00983A79"/>
    <w:rsid w:val="0098541D"/>
    <w:rsid w:val="00985E4A"/>
    <w:rsid w:val="00986189"/>
    <w:rsid w:val="009923B8"/>
    <w:rsid w:val="00994766"/>
    <w:rsid w:val="00995449"/>
    <w:rsid w:val="009A1E29"/>
    <w:rsid w:val="009A40AE"/>
    <w:rsid w:val="009A7D73"/>
    <w:rsid w:val="009B0850"/>
    <w:rsid w:val="009B1172"/>
    <w:rsid w:val="009B1A4B"/>
    <w:rsid w:val="009B1E7D"/>
    <w:rsid w:val="009B2266"/>
    <w:rsid w:val="009B69AC"/>
    <w:rsid w:val="009C0201"/>
    <w:rsid w:val="009C0427"/>
    <w:rsid w:val="009C0C85"/>
    <w:rsid w:val="009C2210"/>
    <w:rsid w:val="009C2720"/>
    <w:rsid w:val="009C31A4"/>
    <w:rsid w:val="009C3CE8"/>
    <w:rsid w:val="009C5037"/>
    <w:rsid w:val="009C681F"/>
    <w:rsid w:val="009C6B86"/>
    <w:rsid w:val="009D0F40"/>
    <w:rsid w:val="009D1CB0"/>
    <w:rsid w:val="009D58B1"/>
    <w:rsid w:val="009D7698"/>
    <w:rsid w:val="009E1749"/>
    <w:rsid w:val="009E1DE7"/>
    <w:rsid w:val="009E309A"/>
    <w:rsid w:val="009F0767"/>
    <w:rsid w:val="009F14B1"/>
    <w:rsid w:val="009F63CC"/>
    <w:rsid w:val="00A01F58"/>
    <w:rsid w:val="00A036F8"/>
    <w:rsid w:val="00A03FA1"/>
    <w:rsid w:val="00A058BE"/>
    <w:rsid w:val="00A05EE4"/>
    <w:rsid w:val="00A06F1D"/>
    <w:rsid w:val="00A11240"/>
    <w:rsid w:val="00A1181E"/>
    <w:rsid w:val="00A124B9"/>
    <w:rsid w:val="00A15127"/>
    <w:rsid w:val="00A15AD4"/>
    <w:rsid w:val="00A22E36"/>
    <w:rsid w:val="00A25F07"/>
    <w:rsid w:val="00A27077"/>
    <w:rsid w:val="00A271B2"/>
    <w:rsid w:val="00A308D0"/>
    <w:rsid w:val="00A31527"/>
    <w:rsid w:val="00A32392"/>
    <w:rsid w:val="00A340A3"/>
    <w:rsid w:val="00A35093"/>
    <w:rsid w:val="00A36119"/>
    <w:rsid w:val="00A40371"/>
    <w:rsid w:val="00A41641"/>
    <w:rsid w:val="00A41907"/>
    <w:rsid w:val="00A42C6C"/>
    <w:rsid w:val="00A444DC"/>
    <w:rsid w:val="00A44EEA"/>
    <w:rsid w:val="00A4568F"/>
    <w:rsid w:val="00A457A0"/>
    <w:rsid w:val="00A502C6"/>
    <w:rsid w:val="00A5167D"/>
    <w:rsid w:val="00A546D7"/>
    <w:rsid w:val="00A56FA4"/>
    <w:rsid w:val="00A57D4B"/>
    <w:rsid w:val="00A6078F"/>
    <w:rsid w:val="00A6230C"/>
    <w:rsid w:val="00A70B26"/>
    <w:rsid w:val="00A7379D"/>
    <w:rsid w:val="00A748BD"/>
    <w:rsid w:val="00A75430"/>
    <w:rsid w:val="00A8226D"/>
    <w:rsid w:val="00A84EC4"/>
    <w:rsid w:val="00A855A5"/>
    <w:rsid w:val="00A90D75"/>
    <w:rsid w:val="00A92892"/>
    <w:rsid w:val="00A92F70"/>
    <w:rsid w:val="00A93493"/>
    <w:rsid w:val="00A97C12"/>
    <w:rsid w:val="00AA1400"/>
    <w:rsid w:val="00AA3A0B"/>
    <w:rsid w:val="00AA6EEF"/>
    <w:rsid w:val="00AB005B"/>
    <w:rsid w:val="00AB07D3"/>
    <w:rsid w:val="00AB09A1"/>
    <w:rsid w:val="00AB7C6A"/>
    <w:rsid w:val="00AC1893"/>
    <w:rsid w:val="00AC1ACA"/>
    <w:rsid w:val="00AC3177"/>
    <w:rsid w:val="00AC35C8"/>
    <w:rsid w:val="00AC4AFF"/>
    <w:rsid w:val="00AD175C"/>
    <w:rsid w:val="00AD6AE6"/>
    <w:rsid w:val="00AD6CD4"/>
    <w:rsid w:val="00AD748A"/>
    <w:rsid w:val="00AD7A07"/>
    <w:rsid w:val="00AD7EFE"/>
    <w:rsid w:val="00AE067A"/>
    <w:rsid w:val="00AE0819"/>
    <w:rsid w:val="00AE1862"/>
    <w:rsid w:val="00AE1A6B"/>
    <w:rsid w:val="00AE2300"/>
    <w:rsid w:val="00AE4B01"/>
    <w:rsid w:val="00AE7182"/>
    <w:rsid w:val="00AF2745"/>
    <w:rsid w:val="00AF4477"/>
    <w:rsid w:val="00B024A0"/>
    <w:rsid w:val="00B036D5"/>
    <w:rsid w:val="00B03764"/>
    <w:rsid w:val="00B05E16"/>
    <w:rsid w:val="00B1314A"/>
    <w:rsid w:val="00B13B12"/>
    <w:rsid w:val="00B141A4"/>
    <w:rsid w:val="00B2206A"/>
    <w:rsid w:val="00B22F2D"/>
    <w:rsid w:val="00B253E9"/>
    <w:rsid w:val="00B3038B"/>
    <w:rsid w:val="00B30E20"/>
    <w:rsid w:val="00B3581E"/>
    <w:rsid w:val="00B3678D"/>
    <w:rsid w:val="00B4096E"/>
    <w:rsid w:val="00B417A2"/>
    <w:rsid w:val="00B4319A"/>
    <w:rsid w:val="00B440E8"/>
    <w:rsid w:val="00B45EE9"/>
    <w:rsid w:val="00B46FD4"/>
    <w:rsid w:val="00B50E75"/>
    <w:rsid w:val="00B57277"/>
    <w:rsid w:val="00B57377"/>
    <w:rsid w:val="00B609B7"/>
    <w:rsid w:val="00B63291"/>
    <w:rsid w:val="00B64F79"/>
    <w:rsid w:val="00B6798E"/>
    <w:rsid w:val="00B70116"/>
    <w:rsid w:val="00B70420"/>
    <w:rsid w:val="00B711DA"/>
    <w:rsid w:val="00B720F7"/>
    <w:rsid w:val="00B73856"/>
    <w:rsid w:val="00B75803"/>
    <w:rsid w:val="00B75EE6"/>
    <w:rsid w:val="00B811D8"/>
    <w:rsid w:val="00B86B47"/>
    <w:rsid w:val="00B91592"/>
    <w:rsid w:val="00B93188"/>
    <w:rsid w:val="00B95C92"/>
    <w:rsid w:val="00B97E62"/>
    <w:rsid w:val="00BA077D"/>
    <w:rsid w:val="00BA6BBD"/>
    <w:rsid w:val="00BA7204"/>
    <w:rsid w:val="00BB0C68"/>
    <w:rsid w:val="00BB169E"/>
    <w:rsid w:val="00BB1769"/>
    <w:rsid w:val="00BB23B8"/>
    <w:rsid w:val="00BB3B62"/>
    <w:rsid w:val="00BB551D"/>
    <w:rsid w:val="00BB7FCC"/>
    <w:rsid w:val="00BC28C8"/>
    <w:rsid w:val="00BC34DB"/>
    <w:rsid w:val="00BC3D12"/>
    <w:rsid w:val="00BC3F8D"/>
    <w:rsid w:val="00BC4577"/>
    <w:rsid w:val="00BD1711"/>
    <w:rsid w:val="00BD2C36"/>
    <w:rsid w:val="00BD3E6B"/>
    <w:rsid w:val="00BE0E8D"/>
    <w:rsid w:val="00BE5B49"/>
    <w:rsid w:val="00BF550E"/>
    <w:rsid w:val="00BF5D47"/>
    <w:rsid w:val="00BF6322"/>
    <w:rsid w:val="00C002A0"/>
    <w:rsid w:val="00C03894"/>
    <w:rsid w:val="00C05CA9"/>
    <w:rsid w:val="00C0663C"/>
    <w:rsid w:val="00C1303A"/>
    <w:rsid w:val="00C14E49"/>
    <w:rsid w:val="00C162CA"/>
    <w:rsid w:val="00C1757C"/>
    <w:rsid w:val="00C20A2F"/>
    <w:rsid w:val="00C229D7"/>
    <w:rsid w:val="00C23F24"/>
    <w:rsid w:val="00C256A9"/>
    <w:rsid w:val="00C316BE"/>
    <w:rsid w:val="00C3270B"/>
    <w:rsid w:val="00C37D2C"/>
    <w:rsid w:val="00C413CF"/>
    <w:rsid w:val="00C41664"/>
    <w:rsid w:val="00C42E1F"/>
    <w:rsid w:val="00C46591"/>
    <w:rsid w:val="00C47659"/>
    <w:rsid w:val="00C50C39"/>
    <w:rsid w:val="00C55052"/>
    <w:rsid w:val="00C55584"/>
    <w:rsid w:val="00C57891"/>
    <w:rsid w:val="00C616F3"/>
    <w:rsid w:val="00C62441"/>
    <w:rsid w:val="00C63955"/>
    <w:rsid w:val="00C639E7"/>
    <w:rsid w:val="00C65708"/>
    <w:rsid w:val="00C65C4E"/>
    <w:rsid w:val="00C66555"/>
    <w:rsid w:val="00C71D40"/>
    <w:rsid w:val="00C7292C"/>
    <w:rsid w:val="00C756AE"/>
    <w:rsid w:val="00C77502"/>
    <w:rsid w:val="00C86279"/>
    <w:rsid w:val="00C86BB5"/>
    <w:rsid w:val="00C86F7A"/>
    <w:rsid w:val="00C91258"/>
    <w:rsid w:val="00C91C47"/>
    <w:rsid w:val="00C93CA2"/>
    <w:rsid w:val="00C96697"/>
    <w:rsid w:val="00CA1DCD"/>
    <w:rsid w:val="00CA28D5"/>
    <w:rsid w:val="00CA29E4"/>
    <w:rsid w:val="00CA2A5C"/>
    <w:rsid w:val="00CA3F7B"/>
    <w:rsid w:val="00CA69B0"/>
    <w:rsid w:val="00CA7E46"/>
    <w:rsid w:val="00CB0C3C"/>
    <w:rsid w:val="00CB2C31"/>
    <w:rsid w:val="00CB5400"/>
    <w:rsid w:val="00CD255F"/>
    <w:rsid w:val="00CD3BD8"/>
    <w:rsid w:val="00CD45EB"/>
    <w:rsid w:val="00CD66F1"/>
    <w:rsid w:val="00CE5C75"/>
    <w:rsid w:val="00CF0D43"/>
    <w:rsid w:val="00CF780B"/>
    <w:rsid w:val="00D015E9"/>
    <w:rsid w:val="00D03B01"/>
    <w:rsid w:val="00D05348"/>
    <w:rsid w:val="00D075F5"/>
    <w:rsid w:val="00D07890"/>
    <w:rsid w:val="00D131F3"/>
    <w:rsid w:val="00D159C1"/>
    <w:rsid w:val="00D179C1"/>
    <w:rsid w:val="00D22954"/>
    <w:rsid w:val="00D24590"/>
    <w:rsid w:val="00D25B55"/>
    <w:rsid w:val="00D26BE0"/>
    <w:rsid w:val="00D32CBC"/>
    <w:rsid w:val="00D355FB"/>
    <w:rsid w:val="00D37670"/>
    <w:rsid w:val="00D40F32"/>
    <w:rsid w:val="00D43664"/>
    <w:rsid w:val="00D43693"/>
    <w:rsid w:val="00D44342"/>
    <w:rsid w:val="00D450A5"/>
    <w:rsid w:val="00D45A56"/>
    <w:rsid w:val="00D47982"/>
    <w:rsid w:val="00D47BC3"/>
    <w:rsid w:val="00D5203F"/>
    <w:rsid w:val="00D52266"/>
    <w:rsid w:val="00D53D9D"/>
    <w:rsid w:val="00D54071"/>
    <w:rsid w:val="00D541E7"/>
    <w:rsid w:val="00D55879"/>
    <w:rsid w:val="00D55919"/>
    <w:rsid w:val="00D57297"/>
    <w:rsid w:val="00D60110"/>
    <w:rsid w:val="00D603C4"/>
    <w:rsid w:val="00D60DB4"/>
    <w:rsid w:val="00D623E1"/>
    <w:rsid w:val="00D63B62"/>
    <w:rsid w:val="00D64249"/>
    <w:rsid w:val="00D67E3A"/>
    <w:rsid w:val="00D72B56"/>
    <w:rsid w:val="00D74D15"/>
    <w:rsid w:val="00D771DC"/>
    <w:rsid w:val="00D8272C"/>
    <w:rsid w:val="00D8303E"/>
    <w:rsid w:val="00D84119"/>
    <w:rsid w:val="00D851EA"/>
    <w:rsid w:val="00D86EEF"/>
    <w:rsid w:val="00D91616"/>
    <w:rsid w:val="00D92A8D"/>
    <w:rsid w:val="00D93A95"/>
    <w:rsid w:val="00D973EF"/>
    <w:rsid w:val="00DA39A0"/>
    <w:rsid w:val="00DA7076"/>
    <w:rsid w:val="00DA7299"/>
    <w:rsid w:val="00DB1D92"/>
    <w:rsid w:val="00DB352F"/>
    <w:rsid w:val="00DB7991"/>
    <w:rsid w:val="00DC01A4"/>
    <w:rsid w:val="00DC0C49"/>
    <w:rsid w:val="00DC2B23"/>
    <w:rsid w:val="00DC3DC9"/>
    <w:rsid w:val="00DC51A6"/>
    <w:rsid w:val="00DC54F5"/>
    <w:rsid w:val="00DD41B0"/>
    <w:rsid w:val="00DD518F"/>
    <w:rsid w:val="00DD692A"/>
    <w:rsid w:val="00DD6A5C"/>
    <w:rsid w:val="00DD701A"/>
    <w:rsid w:val="00DE02C1"/>
    <w:rsid w:val="00DE145B"/>
    <w:rsid w:val="00DE4713"/>
    <w:rsid w:val="00DE68B3"/>
    <w:rsid w:val="00DE7CCF"/>
    <w:rsid w:val="00DF3391"/>
    <w:rsid w:val="00DF3C79"/>
    <w:rsid w:val="00DF4397"/>
    <w:rsid w:val="00DF4CD3"/>
    <w:rsid w:val="00E03D74"/>
    <w:rsid w:val="00E1238F"/>
    <w:rsid w:val="00E12D21"/>
    <w:rsid w:val="00E12D87"/>
    <w:rsid w:val="00E137EB"/>
    <w:rsid w:val="00E15A9C"/>
    <w:rsid w:val="00E162DC"/>
    <w:rsid w:val="00E20EC7"/>
    <w:rsid w:val="00E2156A"/>
    <w:rsid w:val="00E21B31"/>
    <w:rsid w:val="00E22FC6"/>
    <w:rsid w:val="00E23B96"/>
    <w:rsid w:val="00E23BE3"/>
    <w:rsid w:val="00E300EE"/>
    <w:rsid w:val="00E31200"/>
    <w:rsid w:val="00E3157B"/>
    <w:rsid w:val="00E31D0E"/>
    <w:rsid w:val="00E345B3"/>
    <w:rsid w:val="00E35CC9"/>
    <w:rsid w:val="00E4379B"/>
    <w:rsid w:val="00E501B7"/>
    <w:rsid w:val="00E54656"/>
    <w:rsid w:val="00E578A4"/>
    <w:rsid w:val="00E57F7A"/>
    <w:rsid w:val="00E616CA"/>
    <w:rsid w:val="00E616FF"/>
    <w:rsid w:val="00E71D02"/>
    <w:rsid w:val="00E73A5F"/>
    <w:rsid w:val="00E746F5"/>
    <w:rsid w:val="00E75D46"/>
    <w:rsid w:val="00E77E58"/>
    <w:rsid w:val="00E77ECF"/>
    <w:rsid w:val="00E80B32"/>
    <w:rsid w:val="00E843F6"/>
    <w:rsid w:val="00E87B83"/>
    <w:rsid w:val="00E931FC"/>
    <w:rsid w:val="00E95DC1"/>
    <w:rsid w:val="00E976ED"/>
    <w:rsid w:val="00EA0276"/>
    <w:rsid w:val="00EA3DAD"/>
    <w:rsid w:val="00EA5F8A"/>
    <w:rsid w:val="00EA693A"/>
    <w:rsid w:val="00EA6C99"/>
    <w:rsid w:val="00EB7451"/>
    <w:rsid w:val="00EB76D3"/>
    <w:rsid w:val="00EB7DC8"/>
    <w:rsid w:val="00EC29ED"/>
    <w:rsid w:val="00EC4845"/>
    <w:rsid w:val="00ED0002"/>
    <w:rsid w:val="00ED0D92"/>
    <w:rsid w:val="00ED0FEE"/>
    <w:rsid w:val="00ED1025"/>
    <w:rsid w:val="00ED4711"/>
    <w:rsid w:val="00ED52FC"/>
    <w:rsid w:val="00ED5662"/>
    <w:rsid w:val="00EE4474"/>
    <w:rsid w:val="00EE5675"/>
    <w:rsid w:val="00EE683A"/>
    <w:rsid w:val="00EE76C1"/>
    <w:rsid w:val="00EF0F21"/>
    <w:rsid w:val="00EF1A5E"/>
    <w:rsid w:val="00EF3096"/>
    <w:rsid w:val="00EF66BE"/>
    <w:rsid w:val="00F02F70"/>
    <w:rsid w:val="00F050FF"/>
    <w:rsid w:val="00F11AB6"/>
    <w:rsid w:val="00F15C90"/>
    <w:rsid w:val="00F16328"/>
    <w:rsid w:val="00F165BD"/>
    <w:rsid w:val="00F20FBE"/>
    <w:rsid w:val="00F22264"/>
    <w:rsid w:val="00F252CE"/>
    <w:rsid w:val="00F314A8"/>
    <w:rsid w:val="00F33D9C"/>
    <w:rsid w:val="00F35906"/>
    <w:rsid w:val="00F35EAA"/>
    <w:rsid w:val="00F3691A"/>
    <w:rsid w:val="00F3754B"/>
    <w:rsid w:val="00F40F5D"/>
    <w:rsid w:val="00F43DE3"/>
    <w:rsid w:val="00F44BB2"/>
    <w:rsid w:val="00F44C76"/>
    <w:rsid w:val="00F4713E"/>
    <w:rsid w:val="00F538D9"/>
    <w:rsid w:val="00F60AD9"/>
    <w:rsid w:val="00F63C5E"/>
    <w:rsid w:val="00F71220"/>
    <w:rsid w:val="00F73387"/>
    <w:rsid w:val="00F73B90"/>
    <w:rsid w:val="00F7567A"/>
    <w:rsid w:val="00F75B27"/>
    <w:rsid w:val="00F87287"/>
    <w:rsid w:val="00F87ADF"/>
    <w:rsid w:val="00F87B7A"/>
    <w:rsid w:val="00F9095B"/>
    <w:rsid w:val="00F917A6"/>
    <w:rsid w:val="00F925AC"/>
    <w:rsid w:val="00F970D8"/>
    <w:rsid w:val="00F97C20"/>
    <w:rsid w:val="00FA0310"/>
    <w:rsid w:val="00FA1910"/>
    <w:rsid w:val="00FA7D5F"/>
    <w:rsid w:val="00FB3C9D"/>
    <w:rsid w:val="00FB5220"/>
    <w:rsid w:val="00FB6E3D"/>
    <w:rsid w:val="00FC0F88"/>
    <w:rsid w:val="00FC1485"/>
    <w:rsid w:val="00FC16AC"/>
    <w:rsid w:val="00FC33C8"/>
    <w:rsid w:val="00FC6C49"/>
    <w:rsid w:val="00FD12B5"/>
    <w:rsid w:val="00FD4049"/>
    <w:rsid w:val="00FD571C"/>
    <w:rsid w:val="00FE085C"/>
    <w:rsid w:val="00FE0F84"/>
    <w:rsid w:val="00FE2A77"/>
    <w:rsid w:val="00FE3A65"/>
    <w:rsid w:val="00FE5449"/>
    <w:rsid w:val="00FE6A8C"/>
    <w:rsid w:val="00FE70C3"/>
    <w:rsid w:val="00FF0258"/>
    <w:rsid w:val="00FF02C2"/>
    <w:rsid w:val="00FF0502"/>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nlyoffice.com/commentsIdsDocument" Target="commentsIdsDocument.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08F65-8FBA-41FC-8642-6C97E52B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1809</Words>
  <Characters>9123</Characters>
  <Application>Microsoft Office Word</Application>
  <DocSecurity>0</DocSecurity>
  <Lines>1824</Lines>
  <Paragraphs>546</Paragraphs>
  <ScaleCrop>false</ScaleCrop>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12</cp:revision>
  <dcterms:created xsi:type="dcterms:W3CDTF">2022-11-03T10:00:00Z</dcterms:created>
  <dcterms:modified xsi:type="dcterms:W3CDTF">2022-11-04T07:02:00Z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